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0ADF" w14:textId="70C90EA7" w:rsidR="00D65E3D" w:rsidRDefault="00D65E3D" w:rsidP="008C52B9">
      <w:pPr>
        <w:pStyle w:val="Heading1"/>
      </w:pPr>
      <w:r>
        <w:t xml:space="preserve">Submission </w:t>
      </w:r>
      <w:r w:rsidR="00D47ED3">
        <w:t xml:space="preserve">to </w:t>
      </w:r>
      <w:r w:rsidR="005A49D0" w:rsidRPr="005A49D0">
        <w:t>Inquiry into price gouging and unfair pricing practices</w:t>
      </w:r>
    </w:p>
    <w:p w14:paraId="4FA3DB03" w14:textId="77777777" w:rsidR="00D65E3D" w:rsidRDefault="00D65E3D" w:rsidP="008C52B9"/>
    <w:p w14:paraId="5C15DF4D" w14:textId="77777777" w:rsidR="00D65E3D" w:rsidRPr="00B35860" w:rsidRDefault="00D65E3D" w:rsidP="008C52B9">
      <w:pPr>
        <w:rPr>
          <w:rFonts w:cstheme="minorHAnsi"/>
        </w:rPr>
      </w:pPr>
      <w:r w:rsidRPr="00B35860">
        <w:rPr>
          <w:rFonts w:cstheme="minorHAnsi"/>
        </w:rPr>
        <w:t>Flavio Menezes</w:t>
      </w:r>
    </w:p>
    <w:p w14:paraId="4E246550" w14:textId="77777777" w:rsidR="00D65E3D" w:rsidRPr="00B35860" w:rsidRDefault="00D65E3D" w:rsidP="008C52B9">
      <w:pPr>
        <w:rPr>
          <w:rFonts w:cstheme="minorHAnsi"/>
        </w:rPr>
      </w:pPr>
      <w:r w:rsidRPr="00B35860">
        <w:rPr>
          <w:rFonts w:cstheme="minorHAnsi"/>
        </w:rPr>
        <w:t>Professor of Economics</w:t>
      </w:r>
    </w:p>
    <w:p w14:paraId="654F8DD2" w14:textId="77777777" w:rsidR="00D65E3D" w:rsidRPr="00B35860" w:rsidRDefault="00D65E3D" w:rsidP="008C52B9">
      <w:pPr>
        <w:rPr>
          <w:rFonts w:cstheme="minorHAnsi"/>
        </w:rPr>
      </w:pPr>
      <w:r w:rsidRPr="00B35860">
        <w:rPr>
          <w:rFonts w:cstheme="minorHAnsi"/>
        </w:rPr>
        <w:t>Director, Australian Institute for Business and Economics</w:t>
      </w:r>
    </w:p>
    <w:p w14:paraId="38009060" w14:textId="77777777" w:rsidR="00D65E3D" w:rsidRDefault="00D65E3D" w:rsidP="008C52B9">
      <w:pPr>
        <w:rPr>
          <w:rFonts w:cstheme="minorHAnsi"/>
        </w:rPr>
      </w:pPr>
      <w:r w:rsidRPr="00B35860">
        <w:rPr>
          <w:rFonts w:cstheme="minorHAnsi"/>
        </w:rPr>
        <w:t xml:space="preserve">The University of Queensland </w:t>
      </w:r>
    </w:p>
    <w:p w14:paraId="08AF799C" w14:textId="77777777" w:rsidR="00D65E3D" w:rsidRDefault="00D65E3D" w:rsidP="008C52B9">
      <w:pPr>
        <w:rPr>
          <w:rFonts w:cstheme="minorHAnsi"/>
        </w:rPr>
      </w:pPr>
    </w:p>
    <w:p w14:paraId="4ED91B21" w14:textId="77777777" w:rsidR="00D65E3D" w:rsidRPr="00B35860" w:rsidRDefault="00D65E3D" w:rsidP="008C52B9">
      <w:pPr>
        <w:rPr>
          <w:rFonts w:cstheme="minorHAnsi"/>
        </w:rPr>
      </w:pPr>
      <w:r>
        <w:rPr>
          <w:rFonts w:cstheme="minorHAnsi"/>
        </w:rPr>
        <w:t>John Quiggin</w:t>
      </w:r>
    </w:p>
    <w:p w14:paraId="79F2A96F" w14:textId="779B82B3" w:rsidR="00D65E3D" w:rsidRDefault="00D65E3D" w:rsidP="008C52B9">
      <w:pPr>
        <w:rPr>
          <w:rFonts w:cstheme="minorHAnsi"/>
        </w:rPr>
      </w:pPr>
      <w:r w:rsidRPr="00B35860">
        <w:rPr>
          <w:rFonts w:cstheme="minorHAnsi"/>
        </w:rPr>
        <w:t>Professor of Economics</w:t>
      </w:r>
    </w:p>
    <w:p w14:paraId="6D5B0F77" w14:textId="77777777" w:rsidR="00D65E3D" w:rsidRDefault="00D65E3D" w:rsidP="008C52B9">
      <w:pPr>
        <w:rPr>
          <w:rFonts w:cstheme="minorHAnsi"/>
        </w:rPr>
      </w:pPr>
      <w:r w:rsidRPr="00B35860">
        <w:rPr>
          <w:rFonts w:cstheme="minorHAnsi"/>
        </w:rPr>
        <w:t>The University of Queensland</w:t>
      </w:r>
    </w:p>
    <w:p w14:paraId="596D4A14" w14:textId="77777777" w:rsidR="00D65E3D" w:rsidRPr="00B35860" w:rsidRDefault="00D65E3D" w:rsidP="008C52B9">
      <w:pPr>
        <w:rPr>
          <w:rFonts w:cstheme="minorHAnsi"/>
        </w:rPr>
      </w:pPr>
    </w:p>
    <w:p w14:paraId="50BFD93A" w14:textId="77777777" w:rsidR="00D65E3D" w:rsidRPr="00B35860" w:rsidRDefault="00D65E3D" w:rsidP="008C52B9">
      <w:pPr>
        <w:rPr>
          <w:rFonts w:cstheme="minorHAnsi"/>
        </w:rPr>
      </w:pPr>
    </w:p>
    <w:p w14:paraId="6AFD587D" w14:textId="77777777" w:rsidR="00D65E3D" w:rsidRPr="00B35860" w:rsidRDefault="00D65E3D" w:rsidP="008C52B9">
      <w:pPr>
        <w:rPr>
          <w:rFonts w:cstheme="minorHAnsi"/>
        </w:rPr>
      </w:pPr>
    </w:p>
    <w:p w14:paraId="1438AC1F" w14:textId="05158CE4" w:rsidR="00D65E3D" w:rsidRPr="00B35860" w:rsidRDefault="00E873FE" w:rsidP="008C52B9">
      <w:pPr>
        <w:rPr>
          <w:rFonts w:cstheme="minorHAnsi"/>
        </w:rPr>
      </w:pPr>
      <w:r>
        <w:rPr>
          <w:rFonts w:cstheme="minorHAnsi"/>
        </w:rPr>
        <w:t>August</w:t>
      </w:r>
      <w:r w:rsidR="00D8108A">
        <w:rPr>
          <w:rFonts w:cstheme="minorHAnsi"/>
        </w:rPr>
        <w:t xml:space="preserve"> </w:t>
      </w:r>
      <w:r w:rsidR="00D65E3D" w:rsidRPr="00B35860">
        <w:rPr>
          <w:rFonts w:cstheme="minorHAnsi"/>
        </w:rPr>
        <w:t>202</w:t>
      </w:r>
      <w:r w:rsidR="00D65E3D">
        <w:rPr>
          <w:rFonts w:cstheme="minorHAnsi"/>
        </w:rPr>
        <w:t>3</w:t>
      </w:r>
    </w:p>
    <w:p w14:paraId="5D2FECB7" w14:textId="77777777" w:rsidR="00D65E3D" w:rsidRPr="00B35860" w:rsidRDefault="00D65E3D" w:rsidP="008C52B9">
      <w:pPr>
        <w:rPr>
          <w:rFonts w:cstheme="minorHAnsi"/>
        </w:rPr>
      </w:pPr>
    </w:p>
    <w:p w14:paraId="1298FEF3" w14:textId="77777777" w:rsidR="00D65E3D" w:rsidRPr="00B35860" w:rsidRDefault="00D65E3D" w:rsidP="008C52B9">
      <w:pPr>
        <w:rPr>
          <w:rFonts w:cstheme="minorHAnsi"/>
          <w:lang w:val="en-AU"/>
        </w:rPr>
      </w:pPr>
    </w:p>
    <w:p w14:paraId="12797B49" w14:textId="77777777" w:rsidR="00D65E3D" w:rsidRPr="00B35860" w:rsidRDefault="00D65E3D" w:rsidP="008C52B9">
      <w:pPr>
        <w:rPr>
          <w:rFonts w:cstheme="minorHAnsi"/>
          <w:lang w:val="en-AU"/>
        </w:rPr>
      </w:pPr>
    </w:p>
    <w:p w14:paraId="597B4C2D" w14:textId="77777777" w:rsidR="00D65E3D" w:rsidRPr="00B35860" w:rsidRDefault="00D65E3D" w:rsidP="008C52B9">
      <w:pPr>
        <w:rPr>
          <w:rFonts w:cstheme="minorHAnsi"/>
          <w:lang w:val="en-AU"/>
        </w:rPr>
      </w:pPr>
    </w:p>
    <w:p w14:paraId="6A263E13" w14:textId="77777777" w:rsidR="00D65E3D" w:rsidRPr="00B35860" w:rsidRDefault="00D65E3D" w:rsidP="008C52B9">
      <w:pPr>
        <w:rPr>
          <w:rFonts w:cstheme="minorHAnsi"/>
          <w:lang w:val="en-AU"/>
        </w:rPr>
      </w:pPr>
    </w:p>
    <w:p w14:paraId="5828560A" w14:textId="77777777" w:rsidR="00D65E3D" w:rsidRPr="00B35860" w:rsidRDefault="00D65E3D" w:rsidP="008C52B9">
      <w:pPr>
        <w:rPr>
          <w:rFonts w:cstheme="minorHAnsi"/>
          <w:lang w:val="en-AU"/>
        </w:rPr>
      </w:pPr>
    </w:p>
    <w:p w14:paraId="1E799022" w14:textId="77777777" w:rsidR="00D65E3D" w:rsidRPr="00B35860" w:rsidRDefault="00D65E3D" w:rsidP="008C52B9">
      <w:pPr>
        <w:rPr>
          <w:rFonts w:cstheme="minorHAnsi"/>
          <w:lang w:val="en-AU"/>
        </w:rPr>
      </w:pPr>
    </w:p>
    <w:p w14:paraId="389B1B4E" w14:textId="77777777" w:rsidR="00D65E3D" w:rsidRPr="00B35860" w:rsidRDefault="00D65E3D" w:rsidP="008C52B9">
      <w:pPr>
        <w:rPr>
          <w:rFonts w:cstheme="minorHAnsi"/>
          <w:lang w:val="en-AU"/>
        </w:rPr>
      </w:pPr>
    </w:p>
    <w:p w14:paraId="31734698" w14:textId="77777777" w:rsidR="00D65E3D" w:rsidRPr="00B35860" w:rsidRDefault="00D65E3D" w:rsidP="008C52B9">
      <w:pPr>
        <w:rPr>
          <w:rFonts w:cstheme="minorHAnsi"/>
          <w:lang w:val="en-AU"/>
        </w:rPr>
      </w:pPr>
    </w:p>
    <w:p w14:paraId="2E680518" w14:textId="77777777" w:rsidR="00D65E3D" w:rsidRPr="00B35860" w:rsidRDefault="00D65E3D" w:rsidP="008C52B9">
      <w:pPr>
        <w:rPr>
          <w:rFonts w:cstheme="minorHAnsi"/>
          <w:lang w:val="en-AU"/>
        </w:rPr>
      </w:pPr>
    </w:p>
    <w:p w14:paraId="67983552" w14:textId="77777777" w:rsidR="00D65E3D" w:rsidRPr="00B35860" w:rsidRDefault="00D65E3D" w:rsidP="008C52B9">
      <w:pPr>
        <w:rPr>
          <w:rFonts w:cstheme="minorHAnsi"/>
          <w:lang w:val="en-AU"/>
        </w:rPr>
      </w:pPr>
    </w:p>
    <w:p w14:paraId="55426F31" w14:textId="77777777" w:rsidR="00D65E3D" w:rsidRPr="00B35860" w:rsidRDefault="00D65E3D" w:rsidP="008C52B9">
      <w:pPr>
        <w:rPr>
          <w:rFonts w:cstheme="minorHAnsi"/>
          <w:lang w:val="en-AU"/>
        </w:rPr>
      </w:pPr>
    </w:p>
    <w:p w14:paraId="70B093EC" w14:textId="77777777" w:rsidR="00D65E3D" w:rsidRPr="00B35860" w:rsidRDefault="00D65E3D" w:rsidP="008C52B9">
      <w:pPr>
        <w:rPr>
          <w:rFonts w:cstheme="minorHAnsi"/>
          <w:lang w:val="en-AU"/>
        </w:rPr>
      </w:pPr>
    </w:p>
    <w:p w14:paraId="4127BEDE" w14:textId="77777777" w:rsidR="00D65E3D" w:rsidRPr="00B35860" w:rsidRDefault="00D65E3D" w:rsidP="008C52B9">
      <w:pPr>
        <w:rPr>
          <w:rFonts w:cstheme="minorHAnsi"/>
          <w:lang w:val="en-AU"/>
        </w:rPr>
      </w:pPr>
    </w:p>
    <w:p w14:paraId="2CD2277C" w14:textId="77777777" w:rsidR="00D65E3D" w:rsidRPr="00B35860" w:rsidRDefault="00D65E3D" w:rsidP="008C52B9">
      <w:pPr>
        <w:rPr>
          <w:rFonts w:cstheme="minorHAnsi"/>
          <w:lang w:val="en-AU"/>
        </w:rPr>
      </w:pPr>
    </w:p>
    <w:p w14:paraId="15419BE9" w14:textId="77777777" w:rsidR="00D65E3D" w:rsidRPr="00B35860" w:rsidRDefault="00D65E3D" w:rsidP="008C52B9">
      <w:pPr>
        <w:rPr>
          <w:rFonts w:cstheme="minorHAnsi"/>
          <w:lang w:val="en-AU"/>
        </w:rPr>
      </w:pPr>
    </w:p>
    <w:p w14:paraId="110707A6" w14:textId="77777777" w:rsidR="00D65E3D" w:rsidRPr="00B35860" w:rsidRDefault="00D65E3D" w:rsidP="008C52B9">
      <w:pPr>
        <w:rPr>
          <w:rFonts w:cstheme="minorHAnsi"/>
          <w:lang w:val="en-AU"/>
        </w:rPr>
      </w:pPr>
    </w:p>
    <w:p w14:paraId="55BD2227" w14:textId="77777777" w:rsidR="00D65E3D" w:rsidRPr="00B35860" w:rsidRDefault="00D65E3D" w:rsidP="008C52B9">
      <w:pPr>
        <w:rPr>
          <w:rFonts w:cstheme="minorHAnsi"/>
          <w:lang w:val="en-AU"/>
        </w:rPr>
      </w:pPr>
    </w:p>
    <w:p w14:paraId="53D40A82" w14:textId="77777777" w:rsidR="00D65E3D" w:rsidRPr="00B35860" w:rsidRDefault="00D65E3D" w:rsidP="008C52B9">
      <w:pPr>
        <w:rPr>
          <w:rFonts w:cstheme="minorHAnsi"/>
          <w:lang w:val="en-AU"/>
        </w:rPr>
      </w:pPr>
    </w:p>
    <w:p w14:paraId="08A3FCFD" w14:textId="77777777" w:rsidR="00D65E3D" w:rsidRPr="00B35860" w:rsidRDefault="00D65E3D" w:rsidP="008C52B9">
      <w:pPr>
        <w:rPr>
          <w:rFonts w:cstheme="minorHAnsi"/>
          <w:lang w:val="en-AU"/>
        </w:rPr>
      </w:pPr>
    </w:p>
    <w:p w14:paraId="162D2EA2" w14:textId="77777777" w:rsidR="00D65E3D" w:rsidRPr="00B35860" w:rsidRDefault="00D65E3D" w:rsidP="008C52B9">
      <w:pPr>
        <w:rPr>
          <w:rFonts w:cstheme="minorHAnsi"/>
          <w:lang w:val="en-AU"/>
        </w:rPr>
      </w:pPr>
    </w:p>
    <w:p w14:paraId="5E62C395" w14:textId="77777777" w:rsidR="00D65E3D" w:rsidRPr="00B35860" w:rsidRDefault="00D65E3D" w:rsidP="008C52B9">
      <w:pPr>
        <w:rPr>
          <w:rFonts w:cstheme="minorHAnsi"/>
          <w:lang w:val="en-AU"/>
        </w:rPr>
      </w:pPr>
      <w:r w:rsidRPr="00B35860">
        <w:rPr>
          <w:rFonts w:cstheme="minorHAnsi"/>
          <w:lang w:val="en-AU"/>
        </w:rPr>
        <w:t>The opinions expressed in this submission are those of the author</w:t>
      </w:r>
      <w:r>
        <w:rPr>
          <w:rFonts w:cstheme="minorHAnsi"/>
          <w:lang w:val="en-AU"/>
        </w:rPr>
        <w:t>s</w:t>
      </w:r>
      <w:r w:rsidRPr="00B35860">
        <w:rPr>
          <w:rFonts w:cstheme="minorHAnsi"/>
          <w:lang w:val="en-AU"/>
        </w:rPr>
        <w:t>. They do not purport</w:t>
      </w:r>
      <w:r w:rsidRPr="00B35860">
        <w:rPr>
          <w:rFonts w:cstheme="minorHAnsi"/>
          <w:lang w:val="en-AU"/>
        </w:rPr>
        <w:br/>
        <w:t xml:space="preserve">to reflect the opinions or views of the University of Queensland. </w:t>
      </w:r>
    </w:p>
    <w:p w14:paraId="0DF616F4" w14:textId="77777777" w:rsidR="00D65E3D" w:rsidRPr="00B35860" w:rsidRDefault="00D65E3D" w:rsidP="008C52B9">
      <w:pPr>
        <w:rPr>
          <w:rFonts w:cstheme="minorHAnsi"/>
          <w:lang w:val="en-AU"/>
        </w:rPr>
      </w:pPr>
    </w:p>
    <w:p w14:paraId="34DB50BA" w14:textId="77777777" w:rsidR="00D65E3D" w:rsidRPr="00B35860" w:rsidRDefault="00D65E3D" w:rsidP="008C52B9">
      <w:pPr>
        <w:rPr>
          <w:rFonts w:cstheme="minorHAnsi"/>
          <w:lang w:val="en-AU"/>
        </w:rPr>
      </w:pPr>
    </w:p>
    <w:p w14:paraId="5CB4D15A" w14:textId="77777777" w:rsidR="00D65E3D" w:rsidRPr="00B35860" w:rsidRDefault="00D65E3D" w:rsidP="008C52B9">
      <w:pPr>
        <w:rPr>
          <w:rFonts w:cstheme="minorHAnsi"/>
          <w:lang w:val="en-AU"/>
        </w:rPr>
      </w:pPr>
    </w:p>
    <w:p w14:paraId="1FD0451C" w14:textId="4210B938" w:rsidR="00D65E3D" w:rsidRDefault="00D65E3D" w:rsidP="008C52B9">
      <w:pPr>
        <w:rPr>
          <w:rFonts w:cstheme="minorHAnsi"/>
          <w:lang w:val="en-AU"/>
        </w:rPr>
      </w:pPr>
    </w:p>
    <w:p w14:paraId="169E61A7" w14:textId="55150202" w:rsidR="00D65E3D" w:rsidRDefault="00D65E3D" w:rsidP="008C52B9">
      <w:pPr>
        <w:rPr>
          <w:rFonts w:cstheme="minorHAnsi"/>
          <w:lang w:val="en-AU"/>
        </w:rPr>
      </w:pPr>
    </w:p>
    <w:p w14:paraId="342FB795" w14:textId="77777777" w:rsidR="00E873FE" w:rsidRDefault="00E873FE" w:rsidP="008C52B9">
      <w:pPr>
        <w:rPr>
          <w:rFonts w:cstheme="minorHAnsi"/>
          <w:lang w:val="en-AU"/>
        </w:rPr>
      </w:pPr>
    </w:p>
    <w:p w14:paraId="7CAF9B1B" w14:textId="77777777" w:rsidR="00E873FE" w:rsidRDefault="00E873FE" w:rsidP="008C52B9">
      <w:pPr>
        <w:rPr>
          <w:rFonts w:cstheme="minorHAnsi"/>
          <w:lang w:val="en-AU"/>
        </w:rPr>
      </w:pPr>
    </w:p>
    <w:p w14:paraId="13F80DBB" w14:textId="77777777" w:rsidR="00D65E3D" w:rsidRPr="00B35860" w:rsidRDefault="00D65E3D" w:rsidP="008C52B9">
      <w:pPr>
        <w:rPr>
          <w:rFonts w:cstheme="minorHAnsi"/>
          <w:lang w:val="en-AU"/>
        </w:rPr>
      </w:pPr>
    </w:p>
    <w:p w14:paraId="634493DF" w14:textId="0D62D5B7" w:rsidR="00D65E3D" w:rsidRPr="00BB39A4" w:rsidRDefault="00D65E3D" w:rsidP="00BB39A4">
      <w:pPr>
        <w:pStyle w:val="Heading2"/>
        <w:numPr>
          <w:ilvl w:val="0"/>
          <w:numId w:val="23"/>
        </w:numPr>
      </w:pPr>
      <w:r w:rsidRPr="00BB39A4">
        <w:lastRenderedPageBreak/>
        <w:t xml:space="preserve">Introduction </w:t>
      </w:r>
    </w:p>
    <w:p w14:paraId="55A68CEA" w14:textId="7178CBB7" w:rsidR="00424105" w:rsidRDefault="00424105" w:rsidP="008C52B9">
      <w:pPr>
        <w:rPr>
          <w:lang w:val="en-AU"/>
        </w:rPr>
      </w:pPr>
    </w:p>
    <w:p w14:paraId="4A12CBEE" w14:textId="0C547D36" w:rsidR="00B60360" w:rsidRPr="00B60360" w:rsidRDefault="00B60360" w:rsidP="008C52B9">
      <w:pPr>
        <w:pStyle w:val="NormalWeb"/>
        <w:rPr>
          <w:rFonts w:asciiTheme="minorHAnsi" w:hAnsiTheme="minorHAnsi" w:cstheme="minorHAnsi"/>
        </w:rPr>
      </w:pPr>
      <w:r w:rsidRPr="00B60360">
        <w:rPr>
          <w:rFonts w:asciiTheme="minorHAnsi" w:hAnsiTheme="minorHAnsi" w:cstheme="minorHAnsi"/>
        </w:rPr>
        <w:t>We are pleased to have the opportunity to contribute to this inquiry and share our insights on</w:t>
      </w:r>
      <w:r w:rsidR="00511D0D">
        <w:rPr>
          <w:rFonts w:asciiTheme="minorHAnsi" w:hAnsiTheme="minorHAnsi" w:cstheme="minorHAnsi"/>
        </w:rPr>
        <w:t xml:space="preserve"> newly identified</w:t>
      </w:r>
      <w:r w:rsidRPr="00B60360">
        <w:rPr>
          <w:rFonts w:asciiTheme="minorHAnsi" w:hAnsiTheme="minorHAnsi" w:cstheme="minorHAnsi"/>
        </w:rPr>
        <w:t xml:space="preserve"> potential negative economic effects of market power. Our aim is to offer practical guidance on how competition law and procedures can effectively address these issues.</w:t>
      </w:r>
    </w:p>
    <w:p w14:paraId="78730504" w14:textId="47A382C5" w:rsidR="0063169A" w:rsidRPr="00B60360" w:rsidRDefault="007C3F43" w:rsidP="008C52B9">
      <w:pPr>
        <w:pStyle w:val="NormalWeb"/>
        <w:rPr>
          <w:rFonts w:asciiTheme="minorHAnsi" w:hAnsiTheme="minorHAnsi" w:cstheme="minorHAnsi"/>
        </w:rPr>
      </w:pPr>
      <w:r>
        <w:rPr>
          <w:rFonts w:asciiTheme="minorHAnsi" w:hAnsiTheme="minorHAnsi" w:cstheme="minorHAnsi"/>
        </w:rPr>
        <w:t>S</w:t>
      </w:r>
      <w:r w:rsidR="003E3052">
        <w:rPr>
          <w:rFonts w:asciiTheme="minorHAnsi" w:hAnsiTheme="minorHAnsi" w:cstheme="minorHAnsi"/>
        </w:rPr>
        <w:t>ome</w:t>
      </w:r>
      <w:r w:rsidR="00B60360" w:rsidRPr="00B60360">
        <w:rPr>
          <w:rFonts w:asciiTheme="minorHAnsi" w:hAnsiTheme="minorHAnsi" w:cstheme="minorHAnsi"/>
        </w:rPr>
        <w:t xml:space="preserve"> of the themes </w:t>
      </w:r>
      <w:r w:rsidR="00E95F0B">
        <w:rPr>
          <w:rFonts w:asciiTheme="minorHAnsi" w:hAnsiTheme="minorHAnsi" w:cstheme="minorHAnsi"/>
        </w:rPr>
        <w:t>discussed below</w:t>
      </w:r>
      <w:r w:rsidR="00B60360" w:rsidRPr="00B60360">
        <w:rPr>
          <w:rFonts w:asciiTheme="minorHAnsi" w:hAnsiTheme="minorHAnsi" w:cstheme="minorHAnsi"/>
        </w:rPr>
        <w:t xml:space="preserve"> have been previously considered by the Harper Review and dismissed</w:t>
      </w:r>
      <w:r>
        <w:rPr>
          <w:rFonts w:asciiTheme="minorHAnsi" w:hAnsiTheme="minorHAnsi" w:cstheme="minorHAnsi"/>
        </w:rPr>
        <w:t>. However</w:t>
      </w:r>
      <w:r w:rsidR="00B60360" w:rsidRPr="00B60360">
        <w:rPr>
          <w:rFonts w:asciiTheme="minorHAnsi" w:hAnsiTheme="minorHAnsi" w:cstheme="minorHAnsi"/>
        </w:rPr>
        <w:t>, we believe that there are now compelling reasons to revisit them. For instance, the Harper Review did not recommend the introduction of mandatory pre-merger notification and instead suggested maintaining the current dual pathway for the assessment of mergers under s.50 of the Competition and Consumer Act. However, we will be presenting new arguments that support the need for reconsidering this recommendation.</w:t>
      </w:r>
      <w:r w:rsidR="00E873FE">
        <w:rPr>
          <w:rFonts w:asciiTheme="minorHAnsi" w:hAnsiTheme="minorHAnsi" w:cstheme="minorHAnsi"/>
        </w:rPr>
        <w:br/>
      </w:r>
    </w:p>
    <w:p w14:paraId="79E2A352" w14:textId="4C8C952A" w:rsidR="00424105" w:rsidRDefault="000C3A0A" w:rsidP="00BB39A4">
      <w:pPr>
        <w:pStyle w:val="Heading2"/>
        <w:numPr>
          <w:ilvl w:val="0"/>
          <w:numId w:val="23"/>
        </w:numPr>
        <w:rPr>
          <w:lang w:val="en-AU"/>
        </w:rPr>
      </w:pPr>
      <w:r>
        <w:rPr>
          <w:lang w:val="en-AU"/>
        </w:rPr>
        <w:t>Background</w:t>
      </w:r>
    </w:p>
    <w:p w14:paraId="566CB877" w14:textId="3630BDCB" w:rsidR="000C3A0A" w:rsidRDefault="000C3A0A" w:rsidP="008C52B9">
      <w:pPr>
        <w:pStyle w:val="ListParagraph"/>
        <w:ind w:left="360"/>
        <w:rPr>
          <w:lang w:val="en-AU"/>
        </w:rPr>
      </w:pPr>
    </w:p>
    <w:p w14:paraId="06EDF6AE" w14:textId="721D3432" w:rsidR="00B60360" w:rsidRDefault="00B60360" w:rsidP="008C52B9">
      <w:pPr>
        <w:pStyle w:val="ListParagraph"/>
        <w:ind w:left="360"/>
        <w:rPr>
          <w:lang w:val="en-AU"/>
        </w:rPr>
      </w:pPr>
    </w:p>
    <w:p w14:paraId="59D14608" w14:textId="75D33992" w:rsidR="00511D0D" w:rsidRDefault="00511D0D" w:rsidP="008C52B9">
      <w:pPr>
        <w:rPr>
          <w:lang w:val="en-AU"/>
        </w:rPr>
      </w:pPr>
      <w:r>
        <w:rPr>
          <w:lang w:val="en-AU"/>
        </w:rPr>
        <w:t>There is a substantial body of evidence that points to a global increase in market concentration. There is also evidence that Australia’s economy has also become more concentrated. This evidenced was aired in a recent inquiry of the House of Representatives Standing Committee on Economics</w:t>
      </w:r>
      <w:r>
        <w:rPr>
          <w:rStyle w:val="FootnoteReference"/>
          <w:lang w:val="en-AU"/>
        </w:rPr>
        <w:footnoteReference w:id="1"/>
      </w:r>
      <w:r>
        <w:rPr>
          <w:lang w:val="en-AU"/>
        </w:rPr>
        <w:t xml:space="preserve"> and, therefore, it will not be reproduced here. </w:t>
      </w:r>
    </w:p>
    <w:p w14:paraId="4354998A" w14:textId="1F931495" w:rsidR="00511D0D" w:rsidRDefault="00511D0D" w:rsidP="008C52B9">
      <w:pPr>
        <w:rPr>
          <w:lang w:val="en-AU"/>
        </w:rPr>
      </w:pPr>
    </w:p>
    <w:p w14:paraId="68895C9C" w14:textId="7DC603F2" w:rsidR="00511D0D" w:rsidRDefault="00511D0D" w:rsidP="008C52B9">
      <w:pPr>
        <w:rPr>
          <w:lang w:val="en-AU"/>
        </w:rPr>
      </w:pPr>
      <w:r>
        <w:rPr>
          <w:lang w:val="en-AU"/>
        </w:rPr>
        <w:t xml:space="preserve">More concentrated markets are not necessarily harmful for society. To use Thomas </w:t>
      </w:r>
      <w:proofErr w:type="spellStart"/>
      <w:r>
        <w:rPr>
          <w:lang w:val="en-AU"/>
        </w:rPr>
        <w:t>Phillipon’s</w:t>
      </w:r>
      <w:proofErr w:type="spellEnd"/>
      <w:r>
        <w:rPr>
          <w:lang w:val="en-AU"/>
        </w:rPr>
        <w:t xml:space="preserve"> terminology</w:t>
      </w:r>
      <w:r>
        <w:rPr>
          <w:rStyle w:val="FootnoteReference"/>
          <w:lang w:val="en-AU"/>
        </w:rPr>
        <w:footnoteReference w:id="2"/>
      </w:r>
      <w:r>
        <w:rPr>
          <w:lang w:val="en-AU"/>
        </w:rPr>
        <w:t xml:space="preserve">, there is good and bad concentration. The former arises when concentration is driven by innovative firms gaining market share. The latter may be driven by mergers or acquisitions that aim to reduce competition or by entry of new firms becoming more difficult because of regulation. In this book, </w:t>
      </w:r>
      <w:proofErr w:type="spellStart"/>
      <w:r>
        <w:rPr>
          <w:lang w:val="en-AU"/>
        </w:rPr>
        <w:t>Phillipon</w:t>
      </w:r>
      <w:proofErr w:type="spellEnd"/>
      <w:r>
        <w:rPr>
          <w:lang w:val="en-AU"/>
        </w:rPr>
        <w:t xml:space="preserve"> presents considerable evidence that the rise of concentration in the US economy has been mostly of the bad type.</w:t>
      </w:r>
    </w:p>
    <w:p w14:paraId="4B8473C5" w14:textId="7E58AD2A" w:rsidR="00511D0D" w:rsidRDefault="00511D0D" w:rsidP="008C52B9">
      <w:pPr>
        <w:rPr>
          <w:lang w:val="en-AU"/>
        </w:rPr>
      </w:pPr>
      <w:r>
        <w:rPr>
          <w:lang w:val="en-AU"/>
        </w:rPr>
        <w:t>There is also a growing body of evidence</w:t>
      </w:r>
      <w:r w:rsidR="0063169A">
        <w:rPr>
          <w:lang w:val="en-AU"/>
        </w:rPr>
        <w:t>, including for Australia,</w:t>
      </w:r>
      <w:r>
        <w:rPr>
          <w:lang w:val="en-AU"/>
        </w:rPr>
        <w:t xml:space="preserve"> linking more concentrated markets to rising income inequality, lower labour shares, low productivity grow, and high prices and markups, as reviewed by the recent inquiry. </w:t>
      </w:r>
    </w:p>
    <w:p w14:paraId="25A84822" w14:textId="77777777" w:rsidR="00511D0D" w:rsidRDefault="00511D0D" w:rsidP="008C52B9">
      <w:pPr>
        <w:rPr>
          <w:lang w:val="en-AU"/>
        </w:rPr>
      </w:pPr>
    </w:p>
    <w:p w14:paraId="603A2C95" w14:textId="6A320178" w:rsidR="00511D0D" w:rsidRDefault="00511D0D" w:rsidP="008C52B9">
      <w:pPr>
        <w:rPr>
          <w:lang w:val="en-AU"/>
        </w:rPr>
      </w:pPr>
      <w:r>
        <w:rPr>
          <w:lang w:val="en-AU"/>
        </w:rPr>
        <w:t>For Australia, Treasury research</w:t>
      </w:r>
      <w:r>
        <w:rPr>
          <w:rStyle w:val="FootnoteReference"/>
          <w:lang w:val="en-AU"/>
        </w:rPr>
        <w:footnoteReference w:id="3"/>
      </w:r>
      <w:r>
        <w:rPr>
          <w:lang w:val="en-AU"/>
        </w:rPr>
        <w:t xml:space="preserve"> has empirically linked a decrease in the competitiveness of the Australian economy to the slowdown of productivity. The link between competition, innovation and productivity has been recently explored for the German economy. The </w:t>
      </w:r>
      <w:r>
        <w:rPr>
          <w:lang w:val="en-AU"/>
        </w:rPr>
        <w:lastRenderedPageBreak/>
        <w:t>research</w:t>
      </w:r>
      <w:r>
        <w:rPr>
          <w:rStyle w:val="FootnoteReference"/>
          <w:lang w:val="en-AU"/>
        </w:rPr>
        <w:footnoteReference w:id="4"/>
      </w:r>
      <w:r>
        <w:rPr>
          <w:lang w:val="en-AU"/>
        </w:rPr>
        <w:t xml:space="preserve"> shows that an increase in markups by one percent decreases innovation expenditure by 1.7 percent economy wide. For the manufacturing sector, this reduction reaches 3.7 percent. The same study estimates that a decrease in innovation expenditures by 1.7 percent decreases total factor productivity by 1.02 percent. These estimates are </w:t>
      </w:r>
      <w:proofErr w:type="gramStart"/>
      <w:r>
        <w:rPr>
          <w:lang w:val="en-AU"/>
        </w:rPr>
        <w:t>similar to</w:t>
      </w:r>
      <w:proofErr w:type="gramEnd"/>
      <w:r>
        <w:rPr>
          <w:lang w:val="en-AU"/>
        </w:rPr>
        <w:t xml:space="preserve"> other studies for Germany and other countries. </w:t>
      </w:r>
    </w:p>
    <w:p w14:paraId="264CBD2A" w14:textId="53352004" w:rsidR="00511D0D" w:rsidRDefault="00511D0D" w:rsidP="008C52B9">
      <w:pPr>
        <w:rPr>
          <w:lang w:val="en-AU"/>
        </w:rPr>
      </w:pPr>
    </w:p>
    <w:p w14:paraId="1693FB1C" w14:textId="5BD2EE90" w:rsidR="008D76EF" w:rsidRDefault="00511D0D" w:rsidP="008C52B9">
      <w:pPr>
        <w:rPr>
          <w:rFonts w:ascii="Calibri" w:hAnsi="Calibri"/>
        </w:rPr>
      </w:pPr>
      <w:r>
        <w:rPr>
          <w:lang w:val="en-AU"/>
        </w:rPr>
        <w:t>While the effects of market power discussed above have been well studied, we consider below newly identified mechanisms through which market power can have economy-wide adverse effects.</w:t>
      </w:r>
      <w:r w:rsidRPr="008D76EF">
        <w:rPr>
          <w:rFonts w:ascii="Calibri" w:hAnsi="Calibri"/>
        </w:rPr>
        <w:t xml:space="preserve"> </w:t>
      </w:r>
    </w:p>
    <w:p w14:paraId="21268ADF" w14:textId="77777777" w:rsidR="008C52B9" w:rsidRDefault="008C52B9" w:rsidP="008C52B9">
      <w:pPr>
        <w:rPr>
          <w:rFonts w:ascii="Calibri" w:hAnsi="Calibri"/>
        </w:rPr>
      </w:pPr>
    </w:p>
    <w:p w14:paraId="46150D14" w14:textId="77777777" w:rsidR="008D76EF" w:rsidRDefault="008D76EF" w:rsidP="008C52B9">
      <w:pPr>
        <w:rPr>
          <w:rFonts w:ascii="Book Antiqua" w:hAnsi="Book Antiqua"/>
        </w:rPr>
      </w:pPr>
    </w:p>
    <w:p w14:paraId="3BB74645" w14:textId="4502618F" w:rsidR="008D76EF" w:rsidRDefault="001E6A8A" w:rsidP="00BB39A4">
      <w:pPr>
        <w:pStyle w:val="Heading2"/>
        <w:numPr>
          <w:ilvl w:val="0"/>
          <w:numId w:val="23"/>
        </w:numPr>
        <w:rPr>
          <w:rStyle w:val="break-words"/>
        </w:rPr>
      </w:pPr>
      <w:r>
        <w:rPr>
          <w:rStyle w:val="break-words"/>
        </w:rPr>
        <w:t>Market power and Inflation</w:t>
      </w:r>
    </w:p>
    <w:p w14:paraId="4EF70F0A" w14:textId="77777777" w:rsidR="00C4520B" w:rsidRPr="00C4520B" w:rsidRDefault="00C4520B" w:rsidP="00C4520B"/>
    <w:p w14:paraId="07CD3369" w14:textId="669740F5" w:rsidR="007A37BE" w:rsidRPr="00E95F0B" w:rsidRDefault="007A37BE" w:rsidP="008C52B9">
      <w:pPr>
        <w:pStyle w:val="NormalWeb"/>
        <w:rPr>
          <w:rFonts w:asciiTheme="minorHAnsi" w:hAnsiTheme="minorHAnsi" w:cstheme="minorHAnsi"/>
        </w:rPr>
      </w:pPr>
      <w:r w:rsidRPr="00E95F0B">
        <w:rPr>
          <w:rFonts w:asciiTheme="minorHAnsi" w:hAnsiTheme="minorHAnsi" w:cstheme="minorHAnsi"/>
        </w:rPr>
        <w:t xml:space="preserve">The recent upsurge in inflation has rekindled debates on its underlying causes. </w:t>
      </w:r>
      <w:r w:rsidR="00E95F0B" w:rsidRPr="00E95F0B">
        <w:rPr>
          <w:rFonts w:asciiTheme="minorHAnsi" w:hAnsiTheme="minorHAnsi" w:cstheme="minorHAnsi"/>
        </w:rPr>
        <w:t>It</w:t>
      </w:r>
      <w:r w:rsidRPr="00E95F0B">
        <w:rPr>
          <w:rFonts w:asciiTheme="minorHAnsi" w:hAnsiTheme="minorHAnsi" w:cstheme="minorHAnsi"/>
        </w:rPr>
        <w:t xml:space="preserve"> has been widely accepted that inflation is "cost-push," i.e., a result of higher input prices. </w:t>
      </w:r>
      <w:r w:rsidR="00E762F2" w:rsidRPr="00E95F0B">
        <w:rPr>
          <w:rFonts w:asciiTheme="minorHAnsi" w:hAnsiTheme="minorHAnsi" w:cstheme="minorHAnsi"/>
        </w:rPr>
        <w:t xml:space="preserve">Business often refers to </w:t>
      </w:r>
      <w:r w:rsidRPr="00E95F0B">
        <w:rPr>
          <w:rFonts w:asciiTheme="minorHAnsi" w:hAnsiTheme="minorHAnsi" w:cstheme="minorHAnsi"/>
        </w:rPr>
        <w:t>a wage-price spiral, where higher wages increase processing costs and prices, pushing up wages</w:t>
      </w:r>
      <w:r w:rsidR="00E762F2" w:rsidRPr="00E95F0B">
        <w:rPr>
          <w:rFonts w:asciiTheme="minorHAnsi" w:hAnsiTheme="minorHAnsi" w:cstheme="minorHAnsi"/>
        </w:rPr>
        <w:t xml:space="preserve">. </w:t>
      </w:r>
      <w:r w:rsidR="00E95F0B">
        <w:rPr>
          <w:rFonts w:asciiTheme="minorHAnsi" w:hAnsiTheme="minorHAnsi" w:cstheme="minorHAnsi"/>
        </w:rPr>
        <w:t xml:space="preserve">In contrast, </w:t>
      </w:r>
      <w:r w:rsidRPr="00E95F0B">
        <w:rPr>
          <w:rFonts w:asciiTheme="minorHAnsi" w:hAnsiTheme="minorHAnsi" w:cstheme="minorHAnsi"/>
        </w:rPr>
        <w:t>union leaders</w:t>
      </w:r>
      <w:r w:rsidR="00E762F2" w:rsidRPr="00E95F0B">
        <w:rPr>
          <w:rFonts w:asciiTheme="minorHAnsi" w:hAnsiTheme="minorHAnsi" w:cstheme="minorHAnsi"/>
        </w:rPr>
        <w:t xml:space="preserve"> </w:t>
      </w:r>
      <w:r w:rsidR="00E95F0B">
        <w:rPr>
          <w:rFonts w:asciiTheme="minorHAnsi" w:hAnsiTheme="minorHAnsi" w:cstheme="minorHAnsi"/>
        </w:rPr>
        <w:t>have</w:t>
      </w:r>
      <w:r w:rsidR="00E762F2" w:rsidRPr="00E95F0B">
        <w:rPr>
          <w:rFonts w:asciiTheme="minorHAnsi" w:hAnsiTheme="minorHAnsi" w:cstheme="minorHAnsi"/>
        </w:rPr>
        <w:t xml:space="preserve"> argue</w:t>
      </w:r>
      <w:r w:rsidR="00E95F0B">
        <w:rPr>
          <w:rFonts w:asciiTheme="minorHAnsi" w:hAnsiTheme="minorHAnsi" w:cstheme="minorHAnsi"/>
        </w:rPr>
        <w:t>d</w:t>
      </w:r>
      <w:r w:rsidRPr="00E95F0B">
        <w:rPr>
          <w:rFonts w:asciiTheme="minorHAnsi" w:hAnsiTheme="minorHAnsi" w:cstheme="minorHAnsi"/>
        </w:rPr>
        <w:t xml:space="preserve"> that growing profits are contributing to price increases and inflation. However, both versions of the cost-push theory have their shortcomings. Wage-push inflation seems unlikely as wages have not grown significantly, and lowering wages to counter inflation may exacerbate </w:t>
      </w:r>
      <w:r w:rsidR="00E762F2" w:rsidRPr="00E95F0B">
        <w:rPr>
          <w:rFonts w:asciiTheme="minorHAnsi" w:hAnsiTheme="minorHAnsi" w:cstheme="minorHAnsi"/>
        </w:rPr>
        <w:t>labour</w:t>
      </w:r>
      <w:r w:rsidRPr="00E95F0B">
        <w:rPr>
          <w:rFonts w:asciiTheme="minorHAnsi" w:hAnsiTheme="minorHAnsi" w:cstheme="minorHAnsi"/>
        </w:rPr>
        <w:t xml:space="preserve"> shortages. On the other hand, the profit-push idea does not hold up either, as market concentration alone cannot explain the sudden emergence of inflation.</w:t>
      </w:r>
    </w:p>
    <w:p w14:paraId="663A0501" w14:textId="7B68505E" w:rsidR="007A37BE" w:rsidRPr="00E95F0B" w:rsidRDefault="007A37BE" w:rsidP="008C52B9">
      <w:pPr>
        <w:pStyle w:val="NormalWeb"/>
        <w:rPr>
          <w:rFonts w:asciiTheme="minorHAnsi" w:hAnsiTheme="minorHAnsi" w:cstheme="minorHAnsi"/>
        </w:rPr>
      </w:pPr>
      <w:r w:rsidRPr="00E95F0B">
        <w:rPr>
          <w:rFonts w:asciiTheme="minorHAnsi" w:hAnsiTheme="minorHAnsi" w:cstheme="minorHAnsi"/>
        </w:rPr>
        <w:t>Our research on imperfectly competitive markets</w:t>
      </w:r>
      <w:r w:rsidR="00E95F0B" w:rsidRPr="00E95F0B">
        <w:rPr>
          <w:rStyle w:val="FootnoteReference"/>
          <w:rFonts w:asciiTheme="minorHAnsi" w:hAnsiTheme="minorHAnsi" w:cstheme="minorHAnsi"/>
        </w:rPr>
        <w:footnoteReference w:id="5"/>
      </w:r>
      <w:r w:rsidRPr="00E95F0B">
        <w:rPr>
          <w:rFonts w:asciiTheme="minorHAnsi" w:hAnsiTheme="minorHAnsi" w:cstheme="minorHAnsi"/>
        </w:rPr>
        <w:t xml:space="preserve"> provides insights that clarify the relationship between market power and inflation. We have identified a theoretical channel that shows how market power amplifies inflationary shocks, but it does not trigger them. The channel hinges on the concept of a "strategic industry supply curve." Under perfect competition, industries supply goods and services as expected. However, when one or more firms have significant market power, prices are higher for any given quantity sold and increase further as demand for the product increases. As a result, firms with market power amplify inflationary shocks that follow a boost in demand, such as the one observed following the COVID stimulus and the end of lockdowns.</w:t>
      </w:r>
    </w:p>
    <w:p w14:paraId="0204FC27" w14:textId="4162A4B4" w:rsidR="00E95F0B" w:rsidRPr="00E95F0B" w:rsidRDefault="007A37BE" w:rsidP="008C52B9">
      <w:pPr>
        <w:pStyle w:val="NormalWeb"/>
        <w:rPr>
          <w:rFonts w:asciiTheme="minorHAnsi" w:hAnsiTheme="minorHAnsi" w:cstheme="minorHAnsi"/>
        </w:rPr>
      </w:pPr>
      <w:r w:rsidRPr="00E95F0B">
        <w:rPr>
          <w:rFonts w:asciiTheme="minorHAnsi" w:hAnsiTheme="minorHAnsi" w:cstheme="minorHAnsi"/>
        </w:rPr>
        <w:t xml:space="preserve">The analysis further reveals that firms with market power weigh the benefits of higher prices against the potential loss of sales due to reduced demand and competition. When demand increases, the losses from markups are lower. Although our analysis does not support the simplistic view that market power drives inflation, it illuminates how they interact. </w:t>
      </w:r>
    </w:p>
    <w:p w14:paraId="2051E5D8" w14:textId="2857F70F" w:rsidR="001E6A8A" w:rsidRDefault="00E95F0B" w:rsidP="008C52B9">
      <w:pPr>
        <w:rPr>
          <w:rFonts w:eastAsia="Times New Roman" w:cstheme="minorHAnsi"/>
          <w:lang w:val="en-AU"/>
        </w:rPr>
      </w:pPr>
      <w:r w:rsidRPr="00E95F0B">
        <w:rPr>
          <w:rFonts w:eastAsia="Times New Roman" w:cstheme="minorHAnsi"/>
          <w:lang w:val="en-AU"/>
        </w:rPr>
        <w:t xml:space="preserve">Importantly, our research has a direct implication for the competition test used by the ACCC to assess whether a restricted conduct or a merger is likely to lead to a substantial lessening </w:t>
      </w:r>
      <w:r w:rsidRPr="00E95F0B">
        <w:rPr>
          <w:rFonts w:eastAsia="Times New Roman" w:cstheme="minorHAnsi"/>
          <w:lang w:val="en-AU"/>
        </w:rPr>
        <w:lastRenderedPageBreak/>
        <w:t xml:space="preserve">of competition. The test involves comparing the future state of competition in the relevant market with (the factual) and without (the counterfactual) the conduct or merger. The ACCC analysis assumes (implicitly) an economy in equilibrium. For instance, if it concludes that there's no substantial lessening of competition, then the logical implication is that price-cost margins are similar across both factual and counterfactual scenarios. However, our analysis shows that in the presence of demand shocks, we expect price-cost margins to be amplified when there is market power. This implies changes in both the factual and the counterfactual. As a result, a finding that a conduct or transaction is likely to lessen competition, but not substantially, in the absence of a demand shock could be incorrect. If there were demand shocks, price-cost margins would increase more in the counterfactual than in the factual, which could lead to a finding of a substantial lessening of competition. </w:t>
      </w:r>
    </w:p>
    <w:p w14:paraId="29A717F7" w14:textId="77777777" w:rsidR="00C4520B" w:rsidRDefault="00C4520B" w:rsidP="008C52B9">
      <w:pPr>
        <w:rPr>
          <w:rFonts w:eastAsia="Times New Roman" w:cstheme="minorHAnsi"/>
          <w:lang w:val="en-AU"/>
        </w:rPr>
      </w:pPr>
    </w:p>
    <w:p w14:paraId="45A52E61" w14:textId="77777777" w:rsidR="00057A66" w:rsidRDefault="00057A66" w:rsidP="008C52B9">
      <w:pPr>
        <w:rPr>
          <w:rFonts w:eastAsia="Times New Roman" w:cstheme="minorHAnsi"/>
          <w:lang w:val="en-AU"/>
        </w:rPr>
      </w:pPr>
    </w:p>
    <w:p w14:paraId="2A5A3C24" w14:textId="115C6D86" w:rsidR="00057A66" w:rsidRDefault="003E3F14" w:rsidP="003E3F14">
      <w:pPr>
        <w:pStyle w:val="Heading2"/>
      </w:pPr>
      <w:r>
        <w:t>4</w:t>
      </w:r>
      <w:r w:rsidR="00BB39A4">
        <w:t>.</w:t>
      </w:r>
      <w:r w:rsidR="00057A66">
        <w:t xml:space="preserve"> Wage price spiral</w:t>
      </w:r>
    </w:p>
    <w:p w14:paraId="1862F6F1" w14:textId="77777777" w:rsidR="00C4520B" w:rsidRPr="00C4520B" w:rsidRDefault="00C4520B" w:rsidP="00C4520B"/>
    <w:p w14:paraId="62C204C5" w14:textId="77777777" w:rsidR="00057A66" w:rsidRDefault="00057A66" w:rsidP="008C52B9">
      <w:pPr>
        <w:pStyle w:val="NormalWeb"/>
        <w:rPr>
          <w:rFonts w:asciiTheme="minorHAnsi" w:hAnsiTheme="minorHAnsi" w:cstheme="minorHAnsi"/>
        </w:rPr>
      </w:pPr>
      <w:r>
        <w:rPr>
          <w:rFonts w:asciiTheme="minorHAnsi" w:hAnsiTheme="minorHAnsi" w:cstheme="minorHAnsi"/>
        </w:rPr>
        <w:t>During the inflationary era of the 1970s, cost-push theorists developed the idea of a wage-price spiral. The central idea was that unions held market power in labour markets, while large firms had market power in product markets. Hence, unions could demand and get higher wages. Such demands met little resistance because employers could pass cost increases on to consumers.</w:t>
      </w:r>
    </w:p>
    <w:p w14:paraId="483DF5A6" w14:textId="77777777" w:rsidR="00057A66" w:rsidRDefault="00057A66" w:rsidP="008C52B9">
      <w:pPr>
        <w:pStyle w:val="NormalWeb"/>
        <w:rPr>
          <w:rFonts w:asciiTheme="minorHAnsi" w:hAnsiTheme="minorHAnsi" w:cstheme="minorHAnsi"/>
        </w:rPr>
      </w:pPr>
      <w:r>
        <w:rPr>
          <w:rFonts w:asciiTheme="minorHAnsi" w:hAnsiTheme="minorHAnsi" w:cstheme="minorHAnsi"/>
        </w:rPr>
        <w:t>Concerns about a wage price spiral have been expressed in the current inflationary period, notably by RBA governor Lowe in the RBA statement in December 2022</w:t>
      </w:r>
    </w:p>
    <w:p w14:paraId="0C05B35B" w14:textId="7FA6DB37" w:rsidR="00057A66" w:rsidRDefault="008C52B9" w:rsidP="008C52B9">
      <w:pPr>
        <w:pStyle w:val="NormalWeb"/>
        <w:rPr>
          <w:rFonts w:asciiTheme="minorHAnsi" w:hAnsiTheme="minorHAnsi" w:cstheme="minorHAnsi"/>
        </w:rPr>
      </w:pPr>
      <w:hyperlink r:id="rId8" w:history="1">
        <w:r w:rsidRPr="00311AE2">
          <w:rPr>
            <w:rStyle w:val="Hyperlink"/>
            <w:rFonts w:asciiTheme="minorHAnsi" w:hAnsiTheme="minorHAnsi" w:cstheme="minorHAnsi"/>
          </w:rPr>
          <w:t>https://www.rba.gov.au/media-releases/2022/mr-22-41.html</w:t>
        </w:r>
      </w:hyperlink>
      <w:r>
        <w:rPr>
          <w:rFonts w:asciiTheme="minorHAnsi" w:hAnsiTheme="minorHAnsi" w:cstheme="minorHAnsi"/>
        </w:rPr>
        <w:t xml:space="preserve"> </w:t>
      </w:r>
    </w:p>
    <w:p w14:paraId="51BE5990" w14:textId="77777777" w:rsidR="00057A66" w:rsidRDefault="00057A66" w:rsidP="008C52B9">
      <w:pPr>
        <w:pStyle w:val="NormalWeb"/>
        <w:rPr>
          <w:rFonts w:asciiTheme="minorHAnsi" w:hAnsiTheme="minorHAnsi" w:cstheme="minorHAnsi"/>
        </w:rPr>
      </w:pPr>
      <w:r>
        <w:rPr>
          <w:rFonts w:asciiTheme="minorHAnsi" w:hAnsiTheme="minorHAnsi" w:cstheme="minorHAnsi"/>
        </w:rPr>
        <w:t>However, wages have failed to keep pace with inflation, and this situation shows no sign of changing significantly. As a result, more recent statements from the RBA have played down the risk of a wage-price spiral (Lowe …). However, they have failed to recognise the asymmetry between wages and prices.</w:t>
      </w:r>
    </w:p>
    <w:p w14:paraId="0E7EC94D" w14:textId="77777777" w:rsidR="00057A66" w:rsidRPr="008C52B9" w:rsidRDefault="00057A66" w:rsidP="008C52B9">
      <w:pPr>
        <w:pStyle w:val="NormalWeb"/>
        <w:rPr>
          <w:rFonts w:asciiTheme="minorHAnsi" w:hAnsiTheme="minorHAnsi" w:cstheme="minorHAnsi"/>
        </w:rPr>
      </w:pPr>
      <w:r w:rsidRPr="008C52B9">
        <w:rPr>
          <w:rFonts w:asciiTheme="minorHAnsi" w:hAnsiTheme="minorHAnsi" w:cstheme="minorHAnsi"/>
        </w:rPr>
        <w:t xml:space="preserve">Discussing this point in the RBA Review, </w:t>
      </w:r>
      <w:r w:rsidRPr="008C52B9">
        <w:rPr>
          <w:rStyle w:val="Strong"/>
          <w:rFonts w:asciiTheme="minorHAnsi" w:hAnsiTheme="minorHAnsi" w:cstheme="minorHAnsi"/>
        </w:rPr>
        <w:t>Suthaharan and Bleakley state</w:t>
      </w:r>
    </w:p>
    <w:p w14:paraId="30FD363D" w14:textId="77777777" w:rsidR="00057A66" w:rsidRPr="008C52B9" w:rsidRDefault="00057A66" w:rsidP="008C52B9">
      <w:pPr>
        <w:pStyle w:val="NormalWeb"/>
        <w:ind w:left="426" w:hanging="426"/>
        <w:rPr>
          <w:rFonts w:asciiTheme="minorHAnsi" w:hAnsiTheme="minorHAnsi" w:cstheme="minorHAnsi"/>
        </w:rPr>
      </w:pPr>
      <w:r w:rsidRPr="008C52B9">
        <w:rPr>
          <w:rFonts w:asciiTheme="minorHAnsi" w:hAnsiTheme="minorHAnsi" w:cstheme="minorHAnsi"/>
        </w:rPr>
        <w:t xml:space="preserve">There are </w:t>
      </w:r>
      <w:proofErr w:type="gramStart"/>
      <w:r w:rsidRPr="008C52B9">
        <w:rPr>
          <w:rFonts w:asciiTheme="minorHAnsi" w:hAnsiTheme="minorHAnsi" w:cstheme="minorHAnsi"/>
        </w:rPr>
        <w:t>a number of</w:t>
      </w:r>
      <w:proofErr w:type="gramEnd"/>
      <w:r w:rsidRPr="008C52B9">
        <w:rPr>
          <w:rFonts w:asciiTheme="minorHAnsi" w:hAnsiTheme="minorHAnsi" w:cstheme="minorHAnsi"/>
        </w:rPr>
        <w:t xml:space="preserve"> factors that work against a wage-price spiral emerging, however, implying that the overall risk in most advanced economies is probably quite low, and certainly lower than in the 1970s. One group of these factors relates to the pricing power of workers and firms, which has fallen over the past decades as a result of institutional change and increased globalisation raising competition.</w:t>
      </w:r>
    </w:p>
    <w:p w14:paraId="7D167C87" w14:textId="77777777" w:rsidR="00057A66" w:rsidRPr="008C52B9" w:rsidRDefault="00057A66" w:rsidP="008C52B9">
      <w:pPr>
        <w:pStyle w:val="NormalWeb"/>
        <w:rPr>
          <w:rFonts w:asciiTheme="minorHAnsi" w:hAnsiTheme="minorHAnsi" w:cstheme="minorHAnsi"/>
        </w:rPr>
      </w:pPr>
      <w:r w:rsidRPr="008C52B9">
        <w:rPr>
          <w:rStyle w:val="Strong"/>
          <w:rFonts w:asciiTheme="minorHAnsi" w:hAnsiTheme="minorHAnsi" w:cstheme="minorHAnsi"/>
        </w:rPr>
        <w:t>Suthaharan and Bleakley are correct as regards workers.</w:t>
      </w:r>
      <w:r w:rsidRPr="008C52B9">
        <w:rPr>
          <w:rFonts w:asciiTheme="minorHAnsi" w:hAnsiTheme="minorHAnsi" w:cstheme="minorHAnsi"/>
        </w:rPr>
        <w:t xml:space="preserve"> the ‘countervailing power’ of strong unions has been destroyed by declining union membership and industrial relations legislation prohibiting strikes (except in the limited circumstances of ‘protected industrial action’) and many bargaining practices.</w:t>
      </w:r>
    </w:p>
    <w:p w14:paraId="363B4EF2" w14:textId="77777777" w:rsidR="00057A66" w:rsidRPr="008C52B9" w:rsidRDefault="00057A66" w:rsidP="008C52B9">
      <w:pPr>
        <w:pStyle w:val="NormalWeb"/>
        <w:rPr>
          <w:rStyle w:val="Strong"/>
          <w:rFonts w:asciiTheme="minorHAnsi" w:hAnsiTheme="minorHAnsi" w:cstheme="minorHAnsi"/>
          <w:b w:val="0"/>
          <w:bCs w:val="0"/>
        </w:rPr>
      </w:pPr>
      <w:r w:rsidRPr="008C52B9">
        <w:rPr>
          <w:rStyle w:val="Strong"/>
          <w:rFonts w:asciiTheme="minorHAnsi" w:hAnsiTheme="minorHAnsi" w:cstheme="minorHAnsi"/>
          <w:b w:val="0"/>
          <w:bCs w:val="0"/>
        </w:rPr>
        <w:t xml:space="preserve">However, globalisation has had little effect on the pricing power of firms in Australia. The trade share of GDP rose significantly between 1970 and 2000. However, this growth largely </w:t>
      </w:r>
      <w:r w:rsidRPr="008C52B9">
        <w:rPr>
          <w:rStyle w:val="Strong"/>
          <w:rFonts w:asciiTheme="minorHAnsi" w:hAnsiTheme="minorHAnsi" w:cstheme="minorHAnsi"/>
          <w:b w:val="0"/>
          <w:bCs w:val="0"/>
        </w:rPr>
        <w:lastRenderedPageBreak/>
        <w:t xml:space="preserve">reflected the disappearance of import-competing manufacturing. This process was largely complete by 2000 and the trade share of GDP has remained stable since then. </w:t>
      </w:r>
    </w:p>
    <w:p w14:paraId="1C50722F" w14:textId="3AA47DD9" w:rsidR="00057A66" w:rsidRPr="008C52B9" w:rsidRDefault="00057A66" w:rsidP="008C52B9">
      <w:pPr>
        <w:pStyle w:val="NormalWeb"/>
        <w:rPr>
          <w:rStyle w:val="Strong"/>
          <w:rFonts w:asciiTheme="minorHAnsi" w:hAnsiTheme="minorHAnsi" w:cstheme="minorHAnsi"/>
          <w:b w:val="0"/>
          <w:bCs w:val="0"/>
        </w:rPr>
      </w:pPr>
      <w:r w:rsidRPr="008C52B9">
        <w:rPr>
          <w:rStyle w:val="Strong"/>
          <w:rFonts w:asciiTheme="minorHAnsi" w:hAnsiTheme="minorHAnsi" w:cstheme="minorHAnsi"/>
          <w:b w:val="0"/>
          <w:bCs w:val="0"/>
        </w:rPr>
        <w:t xml:space="preserve">Dominant firms in the service sector have not been significantly affected by import competition. Where overseas firms have entered the market, </w:t>
      </w:r>
      <w:r w:rsidR="003E3052" w:rsidRPr="008C52B9">
        <w:rPr>
          <w:rStyle w:val="Strong"/>
          <w:rFonts w:asciiTheme="minorHAnsi" w:hAnsiTheme="minorHAnsi" w:cstheme="minorHAnsi"/>
          <w:b w:val="0"/>
          <w:bCs w:val="0"/>
        </w:rPr>
        <w:t>often this is done</w:t>
      </w:r>
      <w:r w:rsidRPr="008C52B9">
        <w:rPr>
          <w:rStyle w:val="Strong"/>
          <w:rFonts w:asciiTheme="minorHAnsi" w:hAnsiTheme="minorHAnsi" w:cstheme="minorHAnsi"/>
          <w:b w:val="0"/>
          <w:bCs w:val="0"/>
        </w:rPr>
        <w:t xml:space="preserve"> by taking over Australian firms, rather than through ‘greenfield’ investment. The consolidation of the dairy processing industry under international firms Fonterra (NZ), Lactalis (Europe) and Saputo (Canada) provides an example</w:t>
      </w:r>
      <w:r w:rsidR="008C52B9" w:rsidRPr="008C52B9">
        <w:rPr>
          <w:rStyle w:val="Strong"/>
          <w:rFonts w:asciiTheme="minorHAnsi" w:hAnsiTheme="minorHAnsi" w:cstheme="minorHAnsi"/>
          <w:b w:val="0"/>
          <w:bCs w:val="0"/>
        </w:rPr>
        <w:t>.</w:t>
      </w:r>
      <w:r w:rsidR="003E3052" w:rsidRPr="008C52B9">
        <w:rPr>
          <w:rStyle w:val="Strong"/>
          <w:rFonts w:asciiTheme="minorHAnsi" w:hAnsiTheme="minorHAnsi" w:cstheme="minorHAnsi"/>
          <w:b w:val="0"/>
          <w:bCs w:val="0"/>
        </w:rPr>
        <w:t xml:space="preserve"> </w:t>
      </w:r>
    </w:p>
    <w:p w14:paraId="123C1FFD" w14:textId="77777777" w:rsidR="008C52B9" w:rsidRDefault="008C52B9" w:rsidP="008C52B9">
      <w:pPr>
        <w:pStyle w:val="NormalWeb"/>
        <w:rPr>
          <w:rFonts w:asciiTheme="minorHAnsi" w:hAnsiTheme="minorHAnsi" w:cstheme="minorHAnsi"/>
        </w:rPr>
      </w:pPr>
    </w:p>
    <w:p w14:paraId="49E3F950" w14:textId="21E2662E" w:rsidR="007C3F43" w:rsidRDefault="007C3F43" w:rsidP="008C52B9">
      <w:pPr>
        <w:pStyle w:val="Heading2"/>
      </w:pPr>
      <w:r>
        <w:t>5</w:t>
      </w:r>
      <w:r w:rsidR="00BB39A4">
        <w:t>.</w:t>
      </w:r>
      <w:r>
        <w:t xml:space="preserve"> Market power and wages</w:t>
      </w:r>
    </w:p>
    <w:p w14:paraId="7E4E411A" w14:textId="77777777" w:rsidR="00C4520B" w:rsidRPr="00C4520B" w:rsidRDefault="00C4520B" w:rsidP="00C4520B"/>
    <w:p w14:paraId="2DDA497F" w14:textId="667096CC" w:rsidR="00057A66" w:rsidRDefault="00057A66" w:rsidP="008C52B9">
      <w:pPr>
        <w:pStyle w:val="NormalWeb"/>
        <w:rPr>
          <w:rFonts w:asciiTheme="minorHAnsi" w:hAnsiTheme="minorHAnsi" w:cstheme="minorHAnsi"/>
        </w:rPr>
      </w:pPr>
      <w:r>
        <w:rPr>
          <w:rFonts w:asciiTheme="minorHAnsi" w:hAnsiTheme="minorHAnsi" w:cstheme="minorHAnsi"/>
        </w:rPr>
        <w:t>Until relatively recently, it was widely assumed that concentration in product markets would not, in general, contribute to market power in labour markets. Indeed, the wage-price spiral mode</w:t>
      </w:r>
      <w:r w:rsidR="000B7679">
        <w:rPr>
          <w:rFonts w:asciiTheme="minorHAnsi" w:hAnsiTheme="minorHAnsi" w:cstheme="minorHAnsi"/>
        </w:rPr>
        <w:t>l</w:t>
      </w:r>
      <w:r>
        <w:rPr>
          <w:rFonts w:asciiTheme="minorHAnsi" w:hAnsiTheme="minorHAnsi" w:cstheme="minorHAnsi"/>
        </w:rPr>
        <w:t>s discussed abov</w:t>
      </w:r>
      <w:r w:rsidR="000B7679">
        <w:rPr>
          <w:rFonts w:asciiTheme="minorHAnsi" w:hAnsiTheme="minorHAnsi" w:cstheme="minorHAnsi"/>
        </w:rPr>
        <w:t xml:space="preserve">e implied the opposite: that firms with product market power would not resist union wage demands. </w:t>
      </w:r>
    </w:p>
    <w:p w14:paraId="7417B79C" w14:textId="77777777" w:rsidR="008C52B9" w:rsidRDefault="000B7679" w:rsidP="008C52B9">
      <w:pPr>
        <w:pStyle w:val="NormalWeb"/>
        <w:rPr>
          <w:rFonts w:asciiTheme="minorHAnsi" w:hAnsiTheme="minorHAnsi" w:cstheme="minorHAnsi"/>
        </w:rPr>
      </w:pPr>
      <w:r>
        <w:rPr>
          <w:rFonts w:asciiTheme="minorHAnsi" w:hAnsiTheme="minorHAnsi" w:cstheme="minorHAnsi"/>
        </w:rPr>
        <w:t xml:space="preserve">However, as Leigh (2023) notes, this view has now been rejected.   </w:t>
      </w:r>
      <w:hyperlink r:id="rId9" w:history="1">
        <w:r w:rsidRPr="00962917">
          <w:rPr>
            <w:rStyle w:val="Hyperlink"/>
            <w:rFonts w:asciiTheme="minorHAnsi" w:hAnsiTheme="minorHAnsi" w:cstheme="minorHAnsi"/>
          </w:rPr>
          <w:t>https://www.andrewleigh.com/how_uncompetitive_markets_hurt_workers_speech_melbourne#:~:text=Without%20market%20power,%20economic%20theory,than%20they%20are%20being%20paid</w:t>
        </w:r>
      </w:hyperlink>
      <w:r w:rsidRPr="000B7679">
        <w:rPr>
          <w:rFonts w:asciiTheme="minorHAnsi" w:hAnsiTheme="minorHAnsi" w:cstheme="minorHAnsi"/>
        </w:rPr>
        <w:t>.</w:t>
      </w:r>
      <w:r>
        <w:rPr>
          <w:rFonts w:asciiTheme="minorHAnsi" w:hAnsiTheme="minorHAnsi" w:cstheme="minorHAnsi"/>
        </w:rPr>
        <w:t xml:space="preserve">  </w:t>
      </w:r>
    </w:p>
    <w:p w14:paraId="3D2EB861" w14:textId="769959D2" w:rsidR="000B7679" w:rsidRPr="008C52B9" w:rsidRDefault="000B7679" w:rsidP="008C52B9">
      <w:pPr>
        <w:pStyle w:val="NormalWeb"/>
        <w:rPr>
          <w:rFonts w:asciiTheme="minorHAnsi" w:hAnsiTheme="minorHAnsi" w:cstheme="minorHAnsi"/>
        </w:rPr>
      </w:pPr>
      <w:r w:rsidRPr="008C52B9">
        <w:rPr>
          <w:rFonts w:asciiTheme="minorHAnsi" w:hAnsiTheme="minorHAnsi" w:cstheme="minorHAnsi"/>
        </w:rPr>
        <w:t>Evidence from the US, UK and Europe has demonstrated that increases in labour market concentration are associated with lower wages (</w:t>
      </w:r>
      <w:proofErr w:type="spellStart"/>
      <w:r w:rsidRPr="008C52B9">
        <w:rPr>
          <w:rFonts w:asciiTheme="minorHAnsi" w:hAnsiTheme="minorHAnsi" w:cstheme="minorHAnsi"/>
        </w:rPr>
        <w:t>Benmelech</w:t>
      </w:r>
      <w:proofErr w:type="spellEnd"/>
      <w:r w:rsidRPr="008C52B9">
        <w:rPr>
          <w:rFonts w:asciiTheme="minorHAnsi" w:hAnsiTheme="minorHAnsi" w:cstheme="minorHAnsi"/>
        </w:rPr>
        <w:t xml:space="preserve">, Bergman and Kim 2022; Azar, Marinescu and Steinbaum 2022; Abel, </w:t>
      </w:r>
      <w:proofErr w:type="spellStart"/>
      <w:r w:rsidRPr="008C52B9">
        <w:rPr>
          <w:rFonts w:asciiTheme="minorHAnsi" w:hAnsiTheme="minorHAnsi" w:cstheme="minorHAnsi"/>
        </w:rPr>
        <w:t>Tenreyro</w:t>
      </w:r>
      <w:proofErr w:type="spellEnd"/>
      <w:r w:rsidRPr="008C52B9">
        <w:rPr>
          <w:rFonts w:asciiTheme="minorHAnsi" w:hAnsiTheme="minorHAnsi" w:cstheme="minorHAnsi"/>
        </w:rPr>
        <w:t xml:space="preserve"> and Thwaites 2018; Jarosch, </w:t>
      </w:r>
      <w:proofErr w:type="spellStart"/>
      <w:r w:rsidRPr="008C52B9">
        <w:rPr>
          <w:rFonts w:asciiTheme="minorHAnsi" w:hAnsiTheme="minorHAnsi" w:cstheme="minorHAnsi"/>
        </w:rPr>
        <w:t>Nimczik</w:t>
      </w:r>
      <w:proofErr w:type="spellEnd"/>
      <w:r w:rsidRPr="008C52B9">
        <w:rPr>
          <w:rFonts w:asciiTheme="minorHAnsi" w:hAnsiTheme="minorHAnsi" w:cstheme="minorHAnsi"/>
        </w:rPr>
        <w:t xml:space="preserve"> and Sorkin 2019). This is true, whether labour market power is derived from geographic concentration (accounting for a large share of employment </w:t>
      </w:r>
      <w:proofErr w:type="gramStart"/>
      <w:r w:rsidRPr="008C52B9">
        <w:rPr>
          <w:rFonts w:asciiTheme="minorHAnsi" w:hAnsiTheme="minorHAnsi" w:cstheme="minorHAnsi"/>
        </w:rPr>
        <w:t>in a given</w:t>
      </w:r>
      <w:proofErr w:type="gramEnd"/>
      <w:r w:rsidRPr="008C52B9">
        <w:rPr>
          <w:rFonts w:asciiTheme="minorHAnsi" w:hAnsiTheme="minorHAnsi" w:cstheme="minorHAnsi"/>
        </w:rPr>
        <w:t xml:space="preserve"> region) or from product market power (accounting for a large share of employment for workers with industry specific skills).</w:t>
      </w:r>
    </w:p>
    <w:p w14:paraId="460BFE34" w14:textId="77777777" w:rsidR="00E95F0B" w:rsidRPr="00E95F0B" w:rsidRDefault="00E95F0B" w:rsidP="008C52B9"/>
    <w:p w14:paraId="46214B62" w14:textId="4574FB85" w:rsidR="00E95F0B" w:rsidRDefault="007C3F43" w:rsidP="008C52B9">
      <w:pPr>
        <w:pStyle w:val="Heading2"/>
      </w:pPr>
      <w:r>
        <w:t>6.</w:t>
      </w:r>
      <w:r w:rsidR="00E95F0B">
        <w:t>Market power and managerial compensation</w:t>
      </w:r>
    </w:p>
    <w:p w14:paraId="0E806D02" w14:textId="7348D45A" w:rsidR="00172022" w:rsidRPr="00511D0D" w:rsidRDefault="00172022" w:rsidP="008C52B9">
      <w:pPr>
        <w:rPr>
          <w:highlight w:val="yellow"/>
        </w:rPr>
      </w:pPr>
    </w:p>
    <w:p w14:paraId="2D72C600" w14:textId="77777777" w:rsidR="003E3F14" w:rsidRPr="003E3F14" w:rsidRDefault="003E3F14" w:rsidP="003E3F14">
      <w:pPr>
        <w:kinsoku w:val="0"/>
        <w:overflowPunct w:val="0"/>
        <w:autoSpaceDE w:val="0"/>
        <w:autoSpaceDN w:val="0"/>
        <w:adjustRightInd w:val="0"/>
        <w:ind w:right="111"/>
        <w:rPr>
          <w:rFonts w:cstheme="minorHAnsi"/>
          <w:color w:val="000000"/>
        </w:rPr>
      </w:pPr>
      <w:r w:rsidRPr="003E3F14">
        <w:rPr>
          <w:rFonts w:cstheme="minorHAnsi"/>
          <w:color w:val="000000"/>
        </w:rPr>
        <w:t xml:space="preserve">In general, as observed in the previous section, market power has tended to depress wages and salaries. By contrast, recent research   has documented that the rise in market power that has occurred over the last few decades is </w:t>
      </w:r>
      <w:proofErr w:type="gramStart"/>
      <w:r w:rsidRPr="003E3F14">
        <w:rPr>
          <w:rFonts w:cstheme="minorHAnsi"/>
          <w:color w:val="000000"/>
        </w:rPr>
        <w:t>remarkably</w:t>
      </w:r>
      <w:proofErr w:type="gramEnd"/>
      <w:r w:rsidRPr="003E3F14">
        <w:rPr>
          <w:rFonts w:cstheme="minorHAnsi"/>
          <w:color w:val="000000"/>
        </w:rPr>
        <w:t xml:space="preserve"> like the rise in CEO Pay. This naturally leads to the question of whether managers are paid for market power, which is answered by this research. </w:t>
      </w:r>
    </w:p>
    <w:p w14:paraId="2722AEAA" w14:textId="77777777" w:rsidR="003E3F14" w:rsidRPr="003E3F14" w:rsidRDefault="003E3F14" w:rsidP="003E3F14">
      <w:pPr>
        <w:kinsoku w:val="0"/>
        <w:overflowPunct w:val="0"/>
        <w:autoSpaceDE w:val="0"/>
        <w:autoSpaceDN w:val="0"/>
        <w:adjustRightInd w:val="0"/>
        <w:ind w:right="111"/>
        <w:rPr>
          <w:rFonts w:cstheme="minorHAnsi"/>
          <w:color w:val="000000"/>
        </w:rPr>
      </w:pPr>
    </w:p>
    <w:p w14:paraId="1F8DDEC6" w14:textId="7893803A" w:rsidR="00511D0D" w:rsidRDefault="003E3F14" w:rsidP="003E3F14">
      <w:pPr>
        <w:kinsoku w:val="0"/>
        <w:overflowPunct w:val="0"/>
        <w:autoSpaceDE w:val="0"/>
        <w:autoSpaceDN w:val="0"/>
        <w:adjustRightInd w:val="0"/>
        <w:ind w:right="111"/>
        <w:rPr>
          <w:rFonts w:cstheme="minorHAnsi"/>
          <w:color w:val="000000"/>
        </w:rPr>
      </w:pPr>
      <w:r w:rsidRPr="003E3F14">
        <w:rPr>
          <w:rFonts w:cstheme="minorHAnsi"/>
          <w:color w:val="000000"/>
        </w:rPr>
        <w:t xml:space="preserve">Answering this question requires a separation between market power and firm size; market power and firm size are positively correlated, and CEO pay likely increases with firm size. This new research approaches this question by considering that firms take advantage of their market power in the goods market and managers, who are hired in a competitive </w:t>
      </w:r>
      <w:proofErr w:type="spellStart"/>
      <w:r w:rsidRPr="003E3F14">
        <w:rPr>
          <w:rFonts w:cstheme="minorHAnsi"/>
          <w:color w:val="000000"/>
        </w:rPr>
        <w:t>labour</w:t>
      </w:r>
      <w:proofErr w:type="spellEnd"/>
      <w:r w:rsidRPr="003E3F14">
        <w:rPr>
          <w:rFonts w:cstheme="minorHAnsi"/>
          <w:color w:val="000000"/>
        </w:rPr>
        <w:t xml:space="preserve"> market, contribute to their firm’s productivity.</w:t>
      </w:r>
    </w:p>
    <w:p w14:paraId="2308CB3D" w14:textId="77777777" w:rsidR="003E3F14" w:rsidRPr="00511D0D" w:rsidRDefault="003E3F14" w:rsidP="003E3F14">
      <w:pPr>
        <w:kinsoku w:val="0"/>
        <w:overflowPunct w:val="0"/>
        <w:autoSpaceDE w:val="0"/>
        <w:autoSpaceDN w:val="0"/>
        <w:adjustRightInd w:val="0"/>
        <w:ind w:right="111"/>
        <w:rPr>
          <w:rFonts w:cstheme="minorHAnsi"/>
          <w:color w:val="000000"/>
        </w:rPr>
      </w:pPr>
    </w:p>
    <w:p w14:paraId="4A08AC23" w14:textId="00545B4C" w:rsidR="00511D0D" w:rsidRDefault="00172022" w:rsidP="008C52B9">
      <w:pPr>
        <w:kinsoku w:val="0"/>
        <w:overflowPunct w:val="0"/>
        <w:autoSpaceDE w:val="0"/>
        <w:autoSpaceDN w:val="0"/>
        <w:adjustRightInd w:val="0"/>
        <w:ind w:right="111"/>
        <w:rPr>
          <w:rFonts w:cstheme="minorHAnsi"/>
        </w:rPr>
      </w:pPr>
      <w:r w:rsidRPr="00511D0D">
        <w:rPr>
          <w:rFonts w:cstheme="minorHAnsi"/>
          <w:color w:val="000000"/>
        </w:rPr>
        <w:lastRenderedPageBreak/>
        <w:t xml:space="preserve">Using data on executive compensation from </w:t>
      </w:r>
      <w:proofErr w:type="spellStart"/>
      <w:r w:rsidRPr="00511D0D">
        <w:rPr>
          <w:rFonts w:cstheme="minorHAnsi"/>
          <w:color w:val="000000"/>
        </w:rPr>
        <w:t>Compustat</w:t>
      </w:r>
      <w:proofErr w:type="spellEnd"/>
      <w:r w:rsidRPr="00511D0D">
        <w:rPr>
          <w:rFonts w:cstheme="minorHAnsi"/>
          <w:color w:val="000000"/>
        </w:rPr>
        <w:t xml:space="preserve"> between</w:t>
      </w:r>
      <w:r w:rsidR="00511D0D" w:rsidRPr="00511D0D">
        <w:rPr>
          <w:rFonts w:cstheme="minorHAnsi"/>
          <w:color w:val="000000"/>
        </w:rPr>
        <w:t xml:space="preserve"> </w:t>
      </w:r>
      <w:r w:rsidRPr="00511D0D">
        <w:rPr>
          <w:rFonts w:cstheme="minorHAnsi"/>
          <w:color w:val="000000"/>
        </w:rPr>
        <w:t xml:space="preserve">1994 and 2019, </w:t>
      </w:r>
      <w:r w:rsidR="00511D0D" w:rsidRPr="00511D0D">
        <w:rPr>
          <w:rFonts w:cstheme="minorHAnsi"/>
          <w:color w:val="000000"/>
        </w:rPr>
        <w:t>this research assigns</w:t>
      </w:r>
      <w:r w:rsidRPr="00511D0D">
        <w:rPr>
          <w:rFonts w:cstheme="minorHAnsi"/>
          <w:color w:val="000000"/>
        </w:rPr>
        <w:t xml:space="preserve"> on average 45.8% of </w:t>
      </w:r>
      <w:r w:rsidR="00511D0D" w:rsidRPr="00511D0D">
        <w:rPr>
          <w:rFonts w:cstheme="minorHAnsi"/>
          <w:color w:val="000000"/>
        </w:rPr>
        <w:t>CEO</w:t>
      </w:r>
      <w:r w:rsidRPr="00511D0D">
        <w:rPr>
          <w:rFonts w:cstheme="minorHAnsi"/>
          <w:color w:val="000000"/>
        </w:rPr>
        <w:t xml:space="preserve"> Pay to market power. Over time, </w:t>
      </w:r>
      <w:r w:rsidR="00511D0D" w:rsidRPr="00511D0D">
        <w:rPr>
          <w:rFonts w:cstheme="minorHAnsi"/>
          <w:color w:val="000000"/>
        </w:rPr>
        <w:t xml:space="preserve">it estimates that </w:t>
      </w:r>
      <w:r w:rsidRPr="00511D0D">
        <w:rPr>
          <w:rFonts w:cstheme="minorHAnsi"/>
          <w:color w:val="000000"/>
        </w:rPr>
        <w:t xml:space="preserve">57.8% of the growth in </w:t>
      </w:r>
      <w:r w:rsidR="00511D0D" w:rsidRPr="00511D0D">
        <w:rPr>
          <w:rFonts w:cstheme="minorHAnsi"/>
          <w:color w:val="000000"/>
        </w:rPr>
        <w:t xml:space="preserve">CEO </w:t>
      </w:r>
      <w:r w:rsidRPr="00511D0D">
        <w:rPr>
          <w:rFonts w:cstheme="minorHAnsi"/>
          <w:color w:val="000000"/>
        </w:rPr>
        <w:t xml:space="preserve">pay is </w:t>
      </w:r>
      <w:r w:rsidR="00511D0D" w:rsidRPr="00511D0D">
        <w:rPr>
          <w:rFonts w:cstheme="minorHAnsi"/>
          <w:color w:val="000000"/>
        </w:rPr>
        <w:t>attributed</w:t>
      </w:r>
      <w:r w:rsidRPr="00511D0D">
        <w:rPr>
          <w:rFonts w:cstheme="minorHAnsi"/>
          <w:color w:val="000000"/>
        </w:rPr>
        <w:t xml:space="preserve"> to market power. </w:t>
      </w:r>
      <w:r w:rsidR="00511D0D" w:rsidRPr="00511D0D">
        <w:rPr>
          <w:rFonts w:cstheme="minorHAnsi"/>
        </w:rPr>
        <w:t>The main conclusion is that there is a strong link between market power and CEO pay, with firms with market power hiring top CEOs and rewarding them with higher pay. This creates an incentive for managers to seek out firms with market power, leading to a concentration of talent in these firms and exacerbating the productivity gap in the economy. These findings have macroeconomic implications, as the gains in productivity by firms with market power may not be passed on to consumers, resulting in lower social welfare. These potential economy-wide public detriments associated with reduced competition are unlikely to be captured by analysis of the effects of a specific transaction or restricted conduct.</w:t>
      </w:r>
    </w:p>
    <w:p w14:paraId="19FB80AA" w14:textId="77777777" w:rsidR="00057A66" w:rsidRDefault="00057A66" w:rsidP="008C52B9">
      <w:pPr>
        <w:kinsoku w:val="0"/>
        <w:overflowPunct w:val="0"/>
        <w:autoSpaceDE w:val="0"/>
        <w:autoSpaceDN w:val="0"/>
        <w:adjustRightInd w:val="0"/>
        <w:ind w:right="111"/>
        <w:rPr>
          <w:rFonts w:cstheme="minorHAnsi"/>
        </w:rPr>
      </w:pPr>
    </w:p>
    <w:p w14:paraId="3D86DBF3" w14:textId="77777777" w:rsidR="00397369" w:rsidRDefault="00397369" w:rsidP="00397369">
      <w:pPr>
        <w:pStyle w:val="Heading2"/>
      </w:pPr>
    </w:p>
    <w:p w14:paraId="1EB12127" w14:textId="4C24BED9" w:rsidR="00057A66" w:rsidRDefault="00397369" w:rsidP="00397369">
      <w:pPr>
        <w:pStyle w:val="Heading2"/>
      </w:pPr>
      <w:r>
        <w:t xml:space="preserve">6. </w:t>
      </w:r>
      <w:r w:rsidR="00057A66">
        <w:t xml:space="preserve">Market power and the environment </w:t>
      </w:r>
    </w:p>
    <w:p w14:paraId="0C518679" w14:textId="77777777" w:rsidR="00057A66" w:rsidRDefault="00057A66" w:rsidP="008C52B9"/>
    <w:p w14:paraId="2EA0975D" w14:textId="77777777" w:rsidR="00057A66" w:rsidRPr="00511D0D" w:rsidRDefault="00057A66" w:rsidP="008C52B9">
      <w:pPr>
        <w:pStyle w:val="NormalWeb"/>
        <w:rPr>
          <w:rFonts w:asciiTheme="minorHAnsi" w:hAnsiTheme="minorHAnsi" w:cstheme="minorHAnsi"/>
        </w:rPr>
      </w:pPr>
      <w:r w:rsidRPr="00511D0D">
        <w:rPr>
          <w:rFonts w:asciiTheme="minorHAnsi" w:hAnsiTheme="minorHAnsi" w:cstheme="minorHAnsi"/>
        </w:rPr>
        <w:t>New research</w:t>
      </w:r>
      <w:r w:rsidRPr="00511D0D">
        <w:rPr>
          <w:rStyle w:val="FootnoteReference"/>
          <w:rFonts w:asciiTheme="minorHAnsi" w:hAnsiTheme="minorHAnsi" w:cstheme="minorHAnsi"/>
        </w:rPr>
        <w:footnoteReference w:id="6"/>
      </w:r>
      <w:r w:rsidRPr="00511D0D">
        <w:rPr>
          <w:rFonts w:asciiTheme="minorHAnsi" w:hAnsiTheme="minorHAnsi" w:cstheme="minorHAnsi"/>
        </w:rPr>
        <w:t xml:space="preserve"> has uncovered yet another negative impact of market power: limiting the potential for win-win environmental policy outcomes, also known as the Porter Hypothesis. This hypothesis suggests that a well-designed environmental policy can increase social welfare and be profitable for firms. However, the research shows that when competition is intense, the pass-through of a welfare-enhancing emissions tax to consumers may outweigh the costs of emissions abatement for firms. In contrast, firms with market power are more likely to face reduced profits from a welfare-enhancing emissions tax, creating a perverse political economy that could result in lobbying to prevent the introduction of such policies.</w:t>
      </w:r>
    </w:p>
    <w:p w14:paraId="61DBA898" w14:textId="77777777" w:rsidR="00057A66" w:rsidRPr="00511D0D" w:rsidRDefault="00057A66" w:rsidP="008C52B9">
      <w:pPr>
        <w:pStyle w:val="NormalWeb"/>
        <w:rPr>
          <w:rFonts w:asciiTheme="minorHAnsi" w:hAnsiTheme="minorHAnsi" w:cstheme="minorHAnsi"/>
        </w:rPr>
      </w:pPr>
      <w:r w:rsidRPr="00511D0D">
        <w:rPr>
          <w:rFonts w:asciiTheme="minorHAnsi" w:hAnsiTheme="minorHAnsi" w:cstheme="minorHAnsi"/>
        </w:rPr>
        <w:t>This link between competition intensity and win-win environmental policy outcomes highlights a potential public detriment resulting from a conduct or transaction that may substantially lessen competition in a market. The Australian Competition and Consumer Commission (ACCC) can authorise a merger or a restricted conduct (</w:t>
      </w:r>
      <w:r w:rsidRPr="00511D0D">
        <w:rPr>
          <w:rStyle w:val="markedcontent"/>
          <w:rFonts w:asciiTheme="minorHAnsi" w:hAnsiTheme="minorHAnsi" w:cstheme="minorHAnsi"/>
        </w:rPr>
        <w:t>anti-competitive agreements, misuse of market power, and exclusive dealing – the so-called</w:t>
      </w:r>
      <w:r w:rsidRPr="00511D0D">
        <w:rPr>
          <w:rFonts w:asciiTheme="minorHAnsi" w:hAnsiTheme="minorHAnsi" w:cstheme="minorHAnsi"/>
        </w:rPr>
        <w:t xml:space="preserve"> </w:t>
      </w:r>
      <w:r w:rsidRPr="00511D0D">
        <w:rPr>
          <w:rStyle w:val="markedcontent"/>
          <w:rFonts w:asciiTheme="minorHAnsi" w:hAnsiTheme="minorHAnsi" w:cstheme="minorHAnsi"/>
        </w:rPr>
        <w:t xml:space="preserve">non-per se conducts) </w:t>
      </w:r>
      <w:r w:rsidRPr="00511D0D">
        <w:rPr>
          <w:rFonts w:asciiTheme="minorHAnsi" w:hAnsiTheme="minorHAnsi" w:cstheme="minorHAnsi"/>
        </w:rPr>
        <w:t>if either the proposed conduct or transaction is not likely to substantially lessen competition, or the likely public benefit resulting from the proposed acquisition outweighs the likely resulting public detriment. The ACCC can authorise a per se conduct (</w:t>
      </w:r>
      <w:r w:rsidRPr="00511D0D">
        <w:rPr>
          <w:rStyle w:val="markedcontent"/>
          <w:rFonts w:asciiTheme="minorHAnsi" w:hAnsiTheme="minorHAnsi" w:cstheme="minorHAnsi"/>
        </w:rPr>
        <w:t xml:space="preserve">cartel conduct, secondary </w:t>
      </w:r>
      <w:proofErr w:type="gramStart"/>
      <w:r w:rsidRPr="00511D0D">
        <w:rPr>
          <w:rStyle w:val="markedcontent"/>
          <w:rFonts w:asciiTheme="minorHAnsi" w:hAnsiTheme="minorHAnsi" w:cstheme="minorHAnsi"/>
        </w:rPr>
        <w:t>boycotts</w:t>
      </w:r>
      <w:proofErr w:type="gramEnd"/>
      <w:r w:rsidRPr="00511D0D">
        <w:rPr>
          <w:rStyle w:val="markedcontent"/>
          <w:rFonts w:asciiTheme="minorHAnsi" w:hAnsiTheme="minorHAnsi" w:cstheme="minorHAnsi"/>
        </w:rPr>
        <w:t xml:space="preserve"> and resale price maintenance) if the likely net public benefits are positive regardless of the adverse impact on competition, which in these instances will be substantial.  </w:t>
      </w:r>
    </w:p>
    <w:p w14:paraId="42DFB8F1" w14:textId="77777777" w:rsidR="00057A66" w:rsidRDefault="00057A66" w:rsidP="008C52B9">
      <w:pPr>
        <w:pStyle w:val="NormalWeb"/>
        <w:rPr>
          <w:rFonts w:asciiTheme="minorHAnsi" w:hAnsiTheme="minorHAnsi" w:cstheme="minorHAnsi"/>
        </w:rPr>
      </w:pPr>
      <w:r w:rsidRPr="00511D0D">
        <w:rPr>
          <w:rFonts w:asciiTheme="minorHAnsi" w:hAnsiTheme="minorHAnsi" w:cstheme="minorHAnsi"/>
        </w:rPr>
        <w:t>However, the ACCC's authorisation process does not capture potential economy-wide detriments, such as reduced innovation, nor does it consider the detriments associated with the existence of market power, such as reduced likelihood of win-win environmental policies. Although this is not a criticism of the ACCC, it highlights the risk that the authorisation process may not always result in socially desirable outcomes.</w:t>
      </w:r>
    </w:p>
    <w:p w14:paraId="4BDD83A8" w14:textId="3917DF1A" w:rsidR="008D76EF" w:rsidRDefault="0063169A" w:rsidP="00BB39A4">
      <w:pPr>
        <w:pStyle w:val="Heading2"/>
        <w:numPr>
          <w:ilvl w:val="0"/>
          <w:numId w:val="22"/>
        </w:numPr>
      </w:pPr>
      <w:r>
        <w:lastRenderedPageBreak/>
        <w:t>Recommendations</w:t>
      </w:r>
    </w:p>
    <w:p w14:paraId="5C918764" w14:textId="5603FE3D" w:rsidR="0063169A" w:rsidRDefault="0063169A" w:rsidP="008C52B9"/>
    <w:p w14:paraId="723D4E1D" w14:textId="34EA9437" w:rsidR="0063169A" w:rsidRDefault="0063169A" w:rsidP="008C52B9"/>
    <w:p w14:paraId="38645817" w14:textId="77777777" w:rsidR="0063169A" w:rsidRDefault="0063169A" w:rsidP="008C52B9">
      <w:r>
        <w:t xml:space="preserve">As indicated above, there is a substantial body of evidence that has emerged since the Harper Review suggesting that the Australian economy has become less competitive. There is also a large, and growing, literature that identifies economy-wide negative effects of reduced competition. These include less innovation, lower productivity and labour share of the national income, more inequality, higher </w:t>
      </w:r>
      <w:proofErr w:type="gramStart"/>
      <w:r>
        <w:t>prices</w:t>
      </w:r>
      <w:proofErr w:type="gramEnd"/>
      <w:r>
        <w:t xml:space="preserve"> and markups. </w:t>
      </w:r>
    </w:p>
    <w:p w14:paraId="5E56CBDA" w14:textId="77777777" w:rsidR="0063169A" w:rsidRDefault="0063169A" w:rsidP="008C52B9"/>
    <w:p w14:paraId="2644C831" w14:textId="40119ED0" w:rsidR="0063169A" w:rsidRDefault="0063169A" w:rsidP="008C52B9">
      <w:r>
        <w:t xml:space="preserve">This submission highlighted yet more negative effects of reduced competition. It explained how market power amplifies the inflationary effects of demand shocks, and how it reduces the likelihood of win-win environmental policy outcomes. It also described empirical evidence that links CEO pay to markups, which leads to growing productivity gap between firms, and lower welfare as productivity gains are not fully passed on to consumers. </w:t>
      </w:r>
    </w:p>
    <w:p w14:paraId="7F06731E" w14:textId="357B32C5" w:rsidR="0063169A" w:rsidRDefault="0063169A" w:rsidP="008C52B9"/>
    <w:p w14:paraId="038F3A25" w14:textId="2F612231" w:rsidR="0063169A" w:rsidRDefault="0063169A" w:rsidP="008C52B9">
      <w:r>
        <w:t xml:space="preserve">Our analysis has two implications which underpin the recommendations below. First, the current substantial lessening of competition test does not contemplate that in an inflationary environment, where inflation is driven by demand shocks, price-cost margins will increase more under the counterfactual than under the factual. While estimating price increases by individual firms, facing a demand shock and distinct market structures, is a difficult exercise, it suggests that mergers that have the potential to substantially lessen competition deserve a degree of scrutiny that is not afforded by the informal notification pathway. There are other reasons too for eliminating the dual path and requiring mandatory pre-merger notification for mergers above a threshold. These reasons have been articulated by the ACCC and includes the challenges that arise in global mergers where in many instances there is no notification, or the notification happens too late. </w:t>
      </w:r>
    </w:p>
    <w:p w14:paraId="18171EAA" w14:textId="4A0018EE" w:rsidR="0063169A" w:rsidRDefault="0063169A" w:rsidP="008C52B9"/>
    <w:p w14:paraId="296356B3" w14:textId="68BAD85C" w:rsidR="0063169A" w:rsidRDefault="0063169A" w:rsidP="008C52B9">
      <w:r w:rsidRPr="0063169A">
        <w:rPr>
          <w:i/>
          <w:iCs/>
        </w:rPr>
        <w:t>Our first recommendation is, therefore, for the introduction of a single pathway to merger notification with the introduction of mandatory notification.</w:t>
      </w:r>
      <w:r>
        <w:t xml:space="preserve"> This will allow for closer scrutiny of mergers that have the potential to substantial lessen competition and to consider factors such as the impact of inflationary demand shocks on price-cost mergers in the factual and counterfactual. </w:t>
      </w:r>
    </w:p>
    <w:p w14:paraId="5B31BD1B" w14:textId="77777777" w:rsidR="0063169A" w:rsidRDefault="0063169A" w:rsidP="008C52B9"/>
    <w:p w14:paraId="087B171A" w14:textId="17D5BA21" w:rsidR="0063169A" w:rsidRDefault="0063169A" w:rsidP="008C52B9">
      <w:r>
        <w:t xml:space="preserve"> The second implication of our analysis is that it is difficult, if not impossible, for the ACCC to consider economy-wide detriments associated with a particular transaction or conduct. Indeed, it may be the case that the economy-wide impacts are only measurable when considering the cumulative impact of various transactions or conduct. Taking the existing body of evidence as a </w:t>
      </w:r>
      <w:proofErr w:type="gramStart"/>
      <w:r>
        <w:t>whole, and</w:t>
      </w:r>
      <w:proofErr w:type="gramEnd"/>
      <w:r>
        <w:t xml:space="preserve"> considering that the economy-wide impacts of reduced competition are significant, it is questionable whether a conduct or transaction that substantially reduces competition should be authorised based on estimated net public benefits.</w:t>
      </w:r>
    </w:p>
    <w:p w14:paraId="1C522EAF" w14:textId="77777777" w:rsidR="0063169A" w:rsidRPr="0063169A" w:rsidRDefault="0063169A" w:rsidP="008C52B9"/>
    <w:p w14:paraId="72216765" w14:textId="6FE177AE" w:rsidR="0063169A" w:rsidRPr="0063169A" w:rsidRDefault="0063169A" w:rsidP="008C52B9">
      <w:pPr>
        <w:rPr>
          <w:i/>
          <w:iCs/>
          <w:lang w:val="en-AU"/>
        </w:rPr>
      </w:pPr>
      <w:r w:rsidRPr="0063169A">
        <w:rPr>
          <w:i/>
          <w:iCs/>
          <w:lang w:val="en-AU"/>
        </w:rPr>
        <w:t xml:space="preserve">Our second recommendation is for the mandatory pre-merger notification single pathway to focus exclusively on the substantial lessening of competition test.  Consideration should also be given to retain only the substantial lessening of competition test in the authorisation of non-per se conduct, and for the net public benefit test in the authorisation of per se conduct to become a substantial net public. </w:t>
      </w:r>
    </w:p>
    <w:p w14:paraId="4A447DB7" w14:textId="27293D85" w:rsidR="0063169A" w:rsidRDefault="0063169A" w:rsidP="00BB39A4">
      <w:pPr>
        <w:pStyle w:val="Heading2"/>
        <w:numPr>
          <w:ilvl w:val="0"/>
          <w:numId w:val="22"/>
        </w:numPr>
        <w:rPr>
          <w:lang w:eastAsia="en-AU"/>
        </w:rPr>
      </w:pPr>
      <w:r>
        <w:rPr>
          <w:lang w:eastAsia="en-AU"/>
        </w:rPr>
        <w:lastRenderedPageBreak/>
        <w:t>Conclusion</w:t>
      </w:r>
    </w:p>
    <w:p w14:paraId="7429EF94" w14:textId="77777777" w:rsidR="0063169A" w:rsidRDefault="0063169A" w:rsidP="008C52B9">
      <w:pPr>
        <w:rPr>
          <w:lang w:eastAsia="en-AU"/>
        </w:rPr>
      </w:pPr>
    </w:p>
    <w:p w14:paraId="3C890567" w14:textId="3FE5F7F6" w:rsidR="00C4520B" w:rsidRPr="0063169A" w:rsidRDefault="00C4520B" w:rsidP="008C52B9">
      <w:pPr>
        <w:rPr>
          <w:lang w:eastAsia="en-AU"/>
        </w:rPr>
      </w:pPr>
      <w:r w:rsidRPr="00C4520B">
        <w:rPr>
          <w:lang w:eastAsia="en-AU"/>
        </w:rPr>
        <w:t xml:space="preserve">In summary, the submission highlights the negative effects of reduced competition on the Australian economy and recommends two changes to the current merger notification and </w:t>
      </w:r>
      <w:proofErr w:type="spellStart"/>
      <w:r w:rsidRPr="00C4520B">
        <w:rPr>
          <w:lang w:eastAsia="en-AU"/>
        </w:rPr>
        <w:t>authorisation</w:t>
      </w:r>
      <w:proofErr w:type="spellEnd"/>
      <w:r w:rsidRPr="00C4520B">
        <w:rPr>
          <w:lang w:eastAsia="en-AU"/>
        </w:rPr>
        <w:t xml:space="preserve"> process. Firstly, the introduction of a single pathway to merger notification with mandatory notification </w:t>
      </w:r>
      <w:proofErr w:type="gramStart"/>
      <w:r w:rsidRPr="00C4520B">
        <w:rPr>
          <w:lang w:eastAsia="en-AU"/>
        </w:rPr>
        <w:t>to allow</w:t>
      </w:r>
      <w:proofErr w:type="gramEnd"/>
      <w:r w:rsidRPr="00C4520B">
        <w:rPr>
          <w:lang w:eastAsia="en-AU"/>
        </w:rPr>
        <w:t xml:space="preserve"> for closer scrutiny of mergers that have the potential to substantially lessen competition. Secondly, a focus exclusively on the substantial lessening of competition test in the </w:t>
      </w:r>
      <w:proofErr w:type="spellStart"/>
      <w:r w:rsidRPr="00C4520B">
        <w:rPr>
          <w:lang w:eastAsia="en-AU"/>
        </w:rPr>
        <w:t>authorisation</w:t>
      </w:r>
      <w:proofErr w:type="spellEnd"/>
      <w:r w:rsidRPr="00C4520B">
        <w:rPr>
          <w:lang w:eastAsia="en-AU"/>
        </w:rPr>
        <w:t xml:space="preserve"> process with consideration given to retaining only this test for non-per se conduct, and for the net public benefit test for per se conduct to become a substantial net public benefit test. These changes could be explored through a focused Part IV review.</w:t>
      </w:r>
    </w:p>
    <w:sectPr w:rsidR="00C4520B" w:rsidRPr="0063169A" w:rsidSect="00637FA9">
      <w:footerReference w:type="even" r:id="rId10"/>
      <w:footerReference w:type="defaul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389F" w14:textId="77777777" w:rsidR="00BD588C" w:rsidRDefault="00BD588C" w:rsidP="00424105">
      <w:r>
        <w:separator/>
      </w:r>
    </w:p>
  </w:endnote>
  <w:endnote w:type="continuationSeparator" w:id="0">
    <w:p w14:paraId="3628B8B0" w14:textId="77777777" w:rsidR="00BD588C" w:rsidRDefault="00BD588C" w:rsidP="0042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5115033"/>
      <w:docPartObj>
        <w:docPartGallery w:val="Page Numbers (Bottom of Page)"/>
        <w:docPartUnique/>
      </w:docPartObj>
    </w:sdtPr>
    <w:sdtEndPr>
      <w:rPr>
        <w:rStyle w:val="PageNumber"/>
      </w:rPr>
    </w:sdtEndPr>
    <w:sdtContent>
      <w:p w14:paraId="6FC04273" w14:textId="777C2300" w:rsidR="00637FA9" w:rsidRDefault="00637FA9" w:rsidP="00CB5A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95F0B">
          <w:rPr>
            <w:rStyle w:val="PageNumber"/>
            <w:noProof/>
          </w:rPr>
          <w:t>2</w:t>
        </w:r>
        <w:r>
          <w:rPr>
            <w:rStyle w:val="PageNumber"/>
          </w:rPr>
          <w:fldChar w:fldCharType="end"/>
        </w:r>
      </w:p>
    </w:sdtContent>
  </w:sdt>
  <w:p w14:paraId="23D9A5F4" w14:textId="77777777" w:rsidR="00637FA9" w:rsidRDefault="00637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5610"/>
      <w:docPartObj>
        <w:docPartGallery w:val="Page Numbers (Bottom of Page)"/>
        <w:docPartUnique/>
      </w:docPartObj>
    </w:sdtPr>
    <w:sdtEndPr>
      <w:rPr>
        <w:rStyle w:val="PageNumber"/>
      </w:rPr>
    </w:sdtEndPr>
    <w:sdtContent>
      <w:p w14:paraId="663E58AC" w14:textId="339AC018" w:rsidR="00637FA9" w:rsidRDefault="00637FA9" w:rsidP="00CB5A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9B2AA5C" w14:textId="77777777" w:rsidR="00637FA9" w:rsidRDefault="00637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EC3B" w14:textId="77777777" w:rsidR="00BD588C" w:rsidRDefault="00BD588C" w:rsidP="00424105">
      <w:r>
        <w:separator/>
      </w:r>
    </w:p>
  </w:footnote>
  <w:footnote w:type="continuationSeparator" w:id="0">
    <w:p w14:paraId="42F2F58D" w14:textId="77777777" w:rsidR="00BD588C" w:rsidRDefault="00BD588C" w:rsidP="00424105">
      <w:r>
        <w:continuationSeparator/>
      </w:r>
    </w:p>
  </w:footnote>
  <w:footnote w:id="1">
    <w:p w14:paraId="12E33019" w14:textId="5663C520" w:rsidR="00511D0D" w:rsidRPr="00511D0D" w:rsidRDefault="00511D0D">
      <w:pPr>
        <w:pStyle w:val="FootnoteText"/>
        <w:rPr>
          <w:lang w:val="en-AU"/>
        </w:rPr>
      </w:pPr>
      <w:r>
        <w:rPr>
          <w:rStyle w:val="FootnoteReference"/>
        </w:rPr>
        <w:footnoteRef/>
      </w:r>
      <w:r>
        <w:t xml:space="preserve"> </w:t>
      </w:r>
      <w:r>
        <w:rPr>
          <w:lang w:val="en-AU"/>
        </w:rPr>
        <w:t xml:space="preserve">Parliament of the Commonwealth of Australia, Report on the implications of common ownership and capital concentration in Australia, 2022. Available at </w:t>
      </w:r>
      <w:hyperlink r:id="rId1" w:history="1">
        <w:r w:rsidRPr="00E07F75">
          <w:rPr>
            <w:rStyle w:val="Hyperlink"/>
            <w:lang w:val="en-AU"/>
          </w:rPr>
          <w:t>https://www.aph.gov.au/Parliamentary_Business/Committees/House/Economics/Inquiry_into_the_implications_of_common_ownership_and_capital_concentration_in_Australia/Report</w:t>
        </w:r>
      </w:hyperlink>
      <w:r>
        <w:rPr>
          <w:lang w:val="en-AU"/>
        </w:rPr>
        <w:t xml:space="preserve">. </w:t>
      </w:r>
    </w:p>
  </w:footnote>
  <w:footnote w:id="2">
    <w:p w14:paraId="2C27C033" w14:textId="74C95AF3" w:rsidR="00511D0D" w:rsidRPr="00511D0D" w:rsidRDefault="00511D0D">
      <w:pPr>
        <w:pStyle w:val="FootnoteText"/>
        <w:rPr>
          <w:lang w:val="en-AU"/>
        </w:rPr>
      </w:pPr>
      <w:r>
        <w:rPr>
          <w:rStyle w:val="FootnoteReference"/>
        </w:rPr>
        <w:footnoteRef/>
      </w:r>
      <w:r>
        <w:t xml:space="preserve"> </w:t>
      </w:r>
      <w:r>
        <w:rPr>
          <w:lang w:val="en-AU"/>
        </w:rPr>
        <w:t xml:space="preserve">T. </w:t>
      </w:r>
      <w:proofErr w:type="spellStart"/>
      <w:r>
        <w:rPr>
          <w:lang w:val="en-AU"/>
        </w:rPr>
        <w:t>Phillippon</w:t>
      </w:r>
      <w:proofErr w:type="spellEnd"/>
      <w:r>
        <w:rPr>
          <w:lang w:val="en-AU"/>
        </w:rPr>
        <w:t xml:space="preserve">, The Great reversal: How American gave up on free markets, Harvard University Press, 2019. </w:t>
      </w:r>
    </w:p>
  </w:footnote>
  <w:footnote w:id="3">
    <w:p w14:paraId="0C106C3E" w14:textId="21DC6499" w:rsidR="00511D0D" w:rsidRPr="00511D0D" w:rsidRDefault="00511D0D">
      <w:pPr>
        <w:pStyle w:val="FootnoteText"/>
        <w:rPr>
          <w:lang w:val="en-AU"/>
        </w:rPr>
      </w:pPr>
      <w:r>
        <w:rPr>
          <w:rStyle w:val="FootnoteReference"/>
        </w:rPr>
        <w:footnoteRef/>
      </w:r>
      <w:r>
        <w:t xml:space="preserve"> </w:t>
      </w:r>
      <w:r>
        <w:rPr>
          <w:lang w:val="en-AU"/>
        </w:rPr>
        <w:t xml:space="preserve">D. Andrews, J. </w:t>
      </w:r>
      <w:proofErr w:type="spellStart"/>
      <w:r>
        <w:rPr>
          <w:lang w:val="en-AU"/>
        </w:rPr>
        <w:t>Hambur</w:t>
      </w:r>
      <w:proofErr w:type="spellEnd"/>
      <w:r>
        <w:rPr>
          <w:lang w:val="en-AU"/>
        </w:rPr>
        <w:t xml:space="preserve">, D. Hansell and A. Wheeler, Reaching for the stars: Australian firms and the global productivity frontier, Treasury Working Paper 2022-01, 2022. </w:t>
      </w:r>
    </w:p>
  </w:footnote>
  <w:footnote w:id="4">
    <w:p w14:paraId="395EF7D8" w14:textId="1855199F" w:rsidR="00511D0D" w:rsidRPr="00511D0D" w:rsidRDefault="00511D0D">
      <w:pPr>
        <w:pStyle w:val="FootnoteText"/>
        <w:rPr>
          <w:lang w:val="en-AU"/>
        </w:rPr>
      </w:pPr>
      <w:r>
        <w:rPr>
          <w:rStyle w:val="FootnoteReference"/>
        </w:rPr>
        <w:footnoteRef/>
      </w:r>
      <w:r>
        <w:t xml:space="preserve"> </w:t>
      </w:r>
      <w:r>
        <w:rPr>
          <w:lang w:val="en-AU"/>
        </w:rPr>
        <w:t xml:space="preserve">B. </w:t>
      </w:r>
      <w:proofErr w:type="spellStart"/>
      <w:r>
        <w:rPr>
          <w:lang w:val="en-AU"/>
        </w:rPr>
        <w:t>Ganglmair</w:t>
      </w:r>
      <w:proofErr w:type="spellEnd"/>
      <w:r>
        <w:rPr>
          <w:lang w:val="en-AU"/>
        </w:rPr>
        <w:t xml:space="preserve">, N. Hahn, M. Hellwig, A. Kann, B. </w:t>
      </w:r>
      <w:proofErr w:type="gramStart"/>
      <w:r>
        <w:rPr>
          <w:lang w:val="en-AU"/>
        </w:rPr>
        <w:t>Peters</w:t>
      </w:r>
      <w:proofErr w:type="gramEnd"/>
      <w:r>
        <w:rPr>
          <w:lang w:val="en-AU"/>
        </w:rPr>
        <w:t xml:space="preserve"> and I. </w:t>
      </w:r>
      <w:proofErr w:type="spellStart"/>
      <w:r>
        <w:rPr>
          <w:lang w:val="en-AU"/>
        </w:rPr>
        <w:t>Tsanko</w:t>
      </w:r>
      <w:proofErr w:type="spellEnd"/>
      <w:r>
        <w:rPr>
          <w:lang w:val="en-AU"/>
        </w:rPr>
        <w:t xml:space="preserve">, Price markups, innovation, and productivity: Evidence from Germany, 2020. Available from </w:t>
      </w:r>
      <w:hyperlink r:id="rId2" w:history="1">
        <w:r w:rsidRPr="00E07F75">
          <w:rPr>
            <w:rStyle w:val="Hyperlink"/>
            <w:lang w:val="en-AU"/>
          </w:rPr>
          <w:t>https://www.bertelsmann-stiftung.de/fileadmin/files/BSt/Publikationen/GrauePublikationen/NW_Price_Markups_ENGL.pdf</w:t>
        </w:r>
      </w:hyperlink>
      <w:r>
        <w:rPr>
          <w:lang w:val="en-AU"/>
        </w:rPr>
        <w:t xml:space="preserve">. </w:t>
      </w:r>
    </w:p>
  </w:footnote>
  <w:footnote w:id="5">
    <w:p w14:paraId="743491B8" w14:textId="77777777" w:rsidR="00E95F0B" w:rsidRPr="00E95F0B" w:rsidRDefault="00E95F0B" w:rsidP="00E95F0B">
      <w:pPr>
        <w:pStyle w:val="FootnoteText"/>
        <w:rPr>
          <w:lang w:val="en-AU"/>
        </w:rPr>
      </w:pPr>
      <w:r>
        <w:rPr>
          <w:rStyle w:val="FootnoteReference"/>
        </w:rPr>
        <w:footnoteRef/>
      </w:r>
      <w:r>
        <w:t xml:space="preserve"> </w:t>
      </w:r>
      <w:r>
        <w:rPr>
          <w:lang w:val="en-AU"/>
        </w:rPr>
        <w:t xml:space="preserve">Menezes, F. and J. Quiggin, </w:t>
      </w:r>
      <w:r w:rsidRPr="00E95F0B">
        <w:rPr>
          <w:lang w:val="en-AU"/>
        </w:rPr>
        <w:t>Market power amplifies the price effects of demand shocks,</w:t>
      </w:r>
    </w:p>
    <w:p w14:paraId="6BE02A9F" w14:textId="683E06C3" w:rsidR="00E95F0B" w:rsidRPr="00E95F0B" w:rsidRDefault="00E95F0B" w:rsidP="00E95F0B">
      <w:pPr>
        <w:pStyle w:val="FootnoteText"/>
        <w:rPr>
          <w:lang w:val="en-AU"/>
        </w:rPr>
      </w:pPr>
      <w:r w:rsidRPr="00E95F0B">
        <w:rPr>
          <w:lang w:val="en-AU"/>
        </w:rPr>
        <w:t>Economics Letters,</w:t>
      </w:r>
      <w:r>
        <w:rPr>
          <w:lang w:val="en-AU"/>
        </w:rPr>
        <w:t xml:space="preserve"> </w:t>
      </w:r>
      <w:r w:rsidRPr="00E95F0B">
        <w:rPr>
          <w:lang w:val="en-AU"/>
        </w:rPr>
        <w:t>Volume 221,</w:t>
      </w:r>
      <w:r>
        <w:rPr>
          <w:lang w:val="en-AU"/>
        </w:rPr>
        <w:t xml:space="preserve"> </w:t>
      </w:r>
      <w:r w:rsidRPr="00E95F0B">
        <w:rPr>
          <w:lang w:val="en-AU"/>
        </w:rPr>
        <w:t>2022,</w:t>
      </w:r>
      <w:r>
        <w:rPr>
          <w:lang w:val="en-AU"/>
        </w:rPr>
        <w:t xml:space="preserve"> </w:t>
      </w:r>
      <w:r w:rsidRPr="00E95F0B">
        <w:rPr>
          <w:lang w:val="en-AU"/>
        </w:rPr>
        <w:t>110908</w:t>
      </w:r>
      <w:r>
        <w:rPr>
          <w:lang w:val="en-AU"/>
        </w:rPr>
        <w:t>.</w:t>
      </w:r>
    </w:p>
  </w:footnote>
  <w:footnote w:id="6">
    <w:p w14:paraId="1BC6DAB5" w14:textId="77777777" w:rsidR="00057A66" w:rsidRPr="00E95F0B" w:rsidRDefault="00057A66" w:rsidP="00057A66">
      <w:pPr>
        <w:pStyle w:val="FootnoteText"/>
        <w:rPr>
          <w:lang w:val="en-AU"/>
        </w:rPr>
      </w:pPr>
      <w:r>
        <w:rPr>
          <w:rStyle w:val="FootnoteReference"/>
        </w:rPr>
        <w:footnoteRef/>
      </w:r>
      <w:r>
        <w:t xml:space="preserve"> </w:t>
      </w:r>
      <w:r w:rsidRPr="00E95F0B">
        <w:t>Flavio M. Menezes &amp; Jorge Pereira, "Imperfect competition, emissions tax and the Porter hypothesis," Australian Institute for Business and Economics DP022023, School of Economics, University of Queensland</w:t>
      </w:r>
      <w:r>
        <w:t>, 2023</w:t>
      </w:r>
      <w:r w:rsidRPr="00E95F0B">
        <w:t>.</w:t>
      </w:r>
      <w:r>
        <w:t xml:space="preserve"> Available at </w:t>
      </w:r>
      <w:hyperlink r:id="rId3" w:history="1">
        <w:r w:rsidRPr="00E07F75">
          <w:rPr>
            <w:rStyle w:val="Hyperlink"/>
          </w:rPr>
          <w:t>https://ideas.repec.org/p/qld/uqaibe/2.html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E9"/>
    <w:multiLevelType w:val="hybridMultilevel"/>
    <w:tmpl w:val="E148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F37A7"/>
    <w:multiLevelType w:val="hybridMultilevel"/>
    <w:tmpl w:val="B4687D72"/>
    <w:lvl w:ilvl="0" w:tplc="B8589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00AEC"/>
    <w:multiLevelType w:val="hybridMultilevel"/>
    <w:tmpl w:val="FA54F6C6"/>
    <w:lvl w:ilvl="0" w:tplc="27E2565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E9266B"/>
    <w:multiLevelType w:val="multilevel"/>
    <w:tmpl w:val="43AC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E3AC9"/>
    <w:multiLevelType w:val="hybridMultilevel"/>
    <w:tmpl w:val="7AF20FB6"/>
    <w:lvl w:ilvl="0" w:tplc="588C5CE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1E69EA"/>
    <w:multiLevelType w:val="hybridMultilevel"/>
    <w:tmpl w:val="DBF6E6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06F7C"/>
    <w:multiLevelType w:val="hybridMultilevel"/>
    <w:tmpl w:val="92E8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A6BCD"/>
    <w:multiLevelType w:val="hybridMultilevel"/>
    <w:tmpl w:val="5C9AF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5D17EE"/>
    <w:multiLevelType w:val="hybridMultilevel"/>
    <w:tmpl w:val="FDB25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B1B9F"/>
    <w:multiLevelType w:val="hybridMultilevel"/>
    <w:tmpl w:val="C9E036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C218B0"/>
    <w:multiLevelType w:val="hybridMultilevel"/>
    <w:tmpl w:val="2CDC484A"/>
    <w:lvl w:ilvl="0" w:tplc="D122BDC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A71589"/>
    <w:multiLevelType w:val="hybridMultilevel"/>
    <w:tmpl w:val="2CAAE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A72DC7"/>
    <w:multiLevelType w:val="hybridMultilevel"/>
    <w:tmpl w:val="075228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7D602A"/>
    <w:multiLevelType w:val="hybridMultilevel"/>
    <w:tmpl w:val="FD4ACD36"/>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3D0185"/>
    <w:multiLevelType w:val="hybridMultilevel"/>
    <w:tmpl w:val="ABC8C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A13EDD"/>
    <w:multiLevelType w:val="multilevel"/>
    <w:tmpl w:val="E28A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D4DAA"/>
    <w:multiLevelType w:val="hybridMultilevel"/>
    <w:tmpl w:val="B846FB30"/>
    <w:lvl w:ilvl="0" w:tplc="EDB250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9103F"/>
    <w:multiLevelType w:val="hybridMultilevel"/>
    <w:tmpl w:val="DA36D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86508"/>
    <w:multiLevelType w:val="multilevel"/>
    <w:tmpl w:val="6E1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65AA5"/>
    <w:multiLevelType w:val="multilevel"/>
    <w:tmpl w:val="5F74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F5E94"/>
    <w:multiLevelType w:val="hybridMultilevel"/>
    <w:tmpl w:val="FD2AEF76"/>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DB4D2B"/>
    <w:multiLevelType w:val="hybridMultilevel"/>
    <w:tmpl w:val="5D8E848A"/>
    <w:lvl w:ilvl="0" w:tplc="58A6567C">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013A10"/>
    <w:multiLevelType w:val="hybridMultilevel"/>
    <w:tmpl w:val="7A162F4E"/>
    <w:lvl w:ilvl="0" w:tplc="AA16BDEC">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836908">
    <w:abstractNumId w:val="0"/>
  </w:num>
  <w:num w:numId="2" w16cid:durableId="284165181">
    <w:abstractNumId w:val="6"/>
  </w:num>
  <w:num w:numId="3" w16cid:durableId="923488122">
    <w:abstractNumId w:val="13"/>
  </w:num>
  <w:num w:numId="4" w16cid:durableId="768624392">
    <w:abstractNumId w:val="19"/>
  </w:num>
  <w:num w:numId="5" w16cid:durableId="1189639351">
    <w:abstractNumId w:val="15"/>
  </w:num>
  <w:num w:numId="6" w16cid:durableId="843907098">
    <w:abstractNumId w:val="18"/>
  </w:num>
  <w:num w:numId="7" w16cid:durableId="106975258">
    <w:abstractNumId w:val="3"/>
  </w:num>
  <w:num w:numId="8" w16cid:durableId="106395493">
    <w:abstractNumId w:val="7"/>
  </w:num>
  <w:num w:numId="9" w16cid:durableId="2088454704">
    <w:abstractNumId w:val="22"/>
  </w:num>
  <w:num w:numId="10" w16cid:durableId="2055806937">
    <w:abstractNumId w:val="12"/>
  </w:num>
  <w:num w:numId="11" w16cid:durableId="1288469226">
    <w:abstractNumId w:val="9"/>
  </w:num>
  <w:num w:numId="12" w16cid:durableId="1583678090">
    <w:abstractNumId w:val="5"/>
  </w:num>
  <w:num w:numId="13" w16cid:durableId="554439532">
    <w:abstractNumId w:val="17"/>
  </w:num>
  <w:num w:numId="14" w16cid:durableId="571622107">
    <w:abstractNumId w:val="8"/>
  </w:num>
  <w:num w:numId="15" w16cid:durableId="221647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0845761">
    <w:abstractNumId w:val="16"/>
  </w:num>
  <w:num w:numId="17" w16cid:durableId="947542541">
    <w:abstractNumId w:val="1"/>
  </w:num>
  <w:num w:numId="18" w16cid:durableId="1298800976">
    <w:abstractNumId w:val="4"/>
  </w:num>
  <w:num w:numId="19" w16cid:durableId="40398978">
    <w:abstractNumId w:val="10"/>
  </w:num>
  <w:num w:numId="20" w16cid:durableId="233709473">
    <w:abstractNumId w:val="21"/>
  </w:num>
  <w:num w:numId="21" w16cid:durableId="1637105164">
    <w:abstractNumId w:val="2"/>
  </w:num>
  <w:num w:numId="22" w16cid:durableId="1626042214">
    <w:abstractNumId w:val="20"/>
  </w:num>
  <w:num w:numId="23" w16cid:durableId="1605963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E7"/>
    <w:rsid w:val="00057A66"/>
    <w:rsid w:val="000A1978"/>
    <w:rsid w:val="000B7679"/>
    <w:rsid w:val="000C1A47"/>
    <w:rsid w:val="000C3A0A"/>
    <w:rsid w:val="000E4D20"/>
    <w:rsid w:val="000F1171"/>
    <w:rsid w:val="001529CD"/>
    <w:rsid w:val="00155C03"/>
    <w:rsid w:val="00172022"/>
    <w:rsid w:val="001A53D3"/>
    <w:rsid w:val="001B2B95"/>
    <w:rsid w:val="001C78B6"/>
    <w:rsid w:val="001E4947"/>
    <w:rsid w:val="001E6A8A"/>
    <w:rsid w:val="002875AA"/>
    <w:rsid w:val="002F0F14"/>
    <w:rsid w:val="00321D58"/>
    <w:rsid w:val="00327BE1"/>
    <w:rsid w:val="003705D4"/>
    <w:rsid w:val="00397369"/>
    <w:rsid w:val="003E3052"/>
    <w:rsid w:val="003E3F14"/>
    <w:rsid w:val="00424105"/>
    <w:rsid w:val="00511D0D"/>
    <w:rsid w:val="005A49D0"/>
    <w:rsid w:val="005D261C"/>
    <w:rsid w:val="0063169A"/>
    <w:rsid w:val="00637FA9"/>
    <w:rsid w:val="00655B22"/>
    <w:rsid w:val="006770E2"/>
    <w:rsid w:val="006A67CD"/>
    <w:rsid w:val="00704F05"/>
    <w:rsid w:val="007303D2"/>
    <w:rsid w:val="007971F1"/>
    <w:rsid w:val="007A37BE"/>
    <w:rsid w:val="007C3F43"/>
    <w:rsid w:val="008C52B9"/>
    <w:rsid w:val="008D76EF"/>
    <w:rsid w:val="008E45A1"/>
    <w:rsid w:val="00926AF1"/>
    <w:rsid w:val="00933E8F"/>
    <w:rsid w:val="009874D6"/>
    <w:rsid w:val="0099369E"/>
    <w:rsid w:val="009F7172"/>
    <w:rsid w:val="00A30CC6"/>
    <w:rsid w:val="00A505C2"/>
    <w:rsid w:val="00AE2AD8"/>
    <w:rsid w:val="00AE47AB"/>
    <w:rsid w:val="00B04F79"/>
    <w:rsid w:val="00B60360"/>
    <w:rsid w:val="00B62E3A"/>
    <w:rsid w:val="00BB39A4"/>
    <w:rsid w:val="00BD588C"/>
    <w:rsid w:val="00BF4387"/>
    <w:rsid w:val="00BF62B1"/>
    <w:rsid w:val="00C11100"/>
    <w:rsid w:val="00C4520B"/>
    <w:rsid w:val="00C850C2"/>
    <w:rsid w:val="00D17720"/>
    <w:rsid w:val="00D17C04"/>
    <w:rsid w:val="00D47ED3"/>
    <w:rsid w:val="00D65E3D"/>
    <w:rsid w:val="00D8108A"/>
    <w:rsid w:val="00D86659"/>
    <w:rsid w:val="00DA5A2C"/>
    <w:rsid w:val="00DA65D4"/>
    <w:rsid w:val="00E270A6"/>
    <w:rsid w:val="00E36D40"/>
    <w:rsid w:val="00E762F2"/>
    <w:rsid w:val="00E873FE"/>
    <w:rsid w:val="00E93086"/>
    <w:rsid w:val="00E95F0B"/>
    <w:rsid w:val="00EC3555"/>
    <w:rsid w:val="00EE241D"/>
    <w:rsid w:val="00EF7154"/>
    <w:rsid w:val="00FA1391"/>
    <w:rsid w:val="00FD47BE"/>
    <w:rsid w:val="00FE0AE7"/>
    <w:rsid w:val="00FE4E64"/>
    <w:rsid w:val="00FE6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8A7E7"/>
  <w15:chartTrackingRefBased/>
  <w15:docId w15:val="{879C371F-5CDE-9B49-ACC8-93E79860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05"/>
    <w:rPr>
      <w:lang w:val="en-US"/>
    </w:rPr>
  </w:style>
  <w:style w:type="paragraph" w:styleId="Heading1">
    <w:name w:val="heading 1"/>
    <w:basedOn w:val="Normal"/>
    <w:next w:val="Normal"/>
    <w:link w:val="Heading1Char"/>
    <w:uiPriority w:val="9"/>
    <w:qFormat/>
    <w:rsid w:val="00D65E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E3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E64"/>
    <w:pPr>
      <w:ind w:left="720"/>
      <w:contextualSpacing/>
    </w:pPr>
  </w:style>
  <w:style w:type="paragraph" w:styleId="NormalWeb">
    <w:name w:val="Normal (Web)"/>
    <w:basedOn w:val="Normal"/>
    <w:uiPriority w:val="99"/>
    <w:unhideWhenUsed/>
    <w:rsid w:val="00D65E3D"/>
    <w:pPr>
      <w:spacing w:before="100" w:beforeAutospacing="1" w:after="100" w:afterAutospacing="1"/>
    </w:pPr>
    <w:rPr>
      <w:rFonts w:ascii="Times New Roman" w:eastAsia="Times New Roman" w:hAnsi="Times New Roman" w:cs="Times New Roman"/>
      <w:lang w:val="en-AU"/>
    </w:rPr>
  </w:style>
  <w:style w:type="character" w:styleId="Strong">
    <w:name w:val="Strong"/>
    <w:basedOn w:val="DefaultParagraphFont"/>
    <w:uiPriority w:val="22"/>
    <w:qFormat/>
    <w:rsid w:val="00D65E3D"/>
    <w:rPr>
      <w:b/>
      <w:bCs/>
    </w:rPr>
  </w:style>
  <w:style w:type="character" w:customStyle="1" w:styleId="Heading1Char">
    <w:name w:val="Heading 1 Char"/>
    <w:basedOn w:val="DefaultParagraphFont"/>
    <w:link w:val="Heading1"/>
    <w:uiPriority w:val="9"/>
    <w:rsid w:val="00D65E3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D65E3D"/>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D65E3D"/>
    <w:rPr>
      <w:color w:val="0563C1" w:themeColor="hyperlink"/>
      <w:u w:val="single"/>
    </w:rPr>
  </w:style>
  <w:style w:type="character" w:styleId="UnresolvedMention">
    <w:name w:val="Unresolved Mention"/>
    <w:basedOn w:val="DefaultParagraphFont"/>
    <w:uiPriority w:val="99"/>
    <w:semiHidden/>
    <w:unhideWhenUsed/>
    <w:rsid w:val="00D65E3D"/>
    <w:rPr>
      <w:color w:val="605E5C"/>
      <w:shd w:val="clear" w:color="auto" w:fill="E1DFDD"/>
    </w:rPr>
  </w:style>
  <w:style w:type="character" w:styleId="FollowedHyperlink">
    <w:name w:val="FollowedHyperlink"/>
    <w:basedOn w:val="DefaultParagraphFont"/>
    <w:uiPriority w:val="99"/>
    <w:semiHidden/>
    <w:unhideWhenUsed/>
    <w:rsid w:val="00424105"/>
    <w:rPr>
      <w:color w:val="954F72" w:themeColor="followedHyperlink"/>
      <w:u w:val="single"/>
    </w:rPr>
  </w:style>
  <w:style w:type="paragraph" w:styleId="FootnoteText">
    <w:name w:val="footnote text"/>
    <w:basedOn w:val="Normal"/>
    <w:link w:val="FootnoteTextChar"/>
    <w:uiPriority w:val="99"/>
    <w:semiHidden/>
    <w:unhideWhenUsed/>
    <w:rsid w:val="00424105"/>
    <w:rPr>
      <w:sz w:val="20"/>
      <w:szCs w:val="20"/>
    </w:rPr>
  </w:style>
  <w:style w:type="character" w:customStyle="1" w:styleId="FootnoteTextChar">
    <w:name w:val="Footnote Text Char"/>
    <w:basedOn w:val="DefaultParagraphFont"/>
    <w:link w:val="FootnoteText"/>
    <w:uiPriority w:val="99"/>
    <w:semiHidden/>
    <w:rsid w:val="00424105"/>
    <w:rPr>
      <w:sz w:val="20"/>
      <w:szCs w:val="20"/>
      <w:lang w:val="en-US"/>
    </w:rPr>
  </w:style>
  <w:style w:type="character" w:styleId="FootnoteReference">
    <w:name w:val="footnote reference"/>
    <w:basedOn w:val="DefaultParagraphFont"/>
    <w:uiPriority w:val="99"/>
    <w:semiHidden/>
    <w:unhideWhenUsed/>
    <w:rsid w:val="00424105"/>
    <w:rPr>
      <w:vertAlign w:val="superscript"/>
    </w:rPr>
  </w:style>
  <w:style w:type="character" w:customStyle="1" w:styleId="markedcontent">
    <w:name w:val="markedcontent"/>
    <w:basedOn w:val="DefaultParagraphFont"/>
    <w:rsid w:val="00424105"/>
  </w:style>
  <w:style w:type="character" w:customStyle="1" w:styleId="hgkelc">
    <w:name w:val="hgkelc"/>
    <w:basedOn w:val="DefaultParagraphFont"/>
    <w:rsid w:val="00424105"/>
  </w:style>
  <w:style w:type="paragraph" w:customStyle="1" w:styleId="ssrcss-1q0x1qg-paragraph">
    <w:name w:val="ssrcss-1q0x1qg-paragraph"/>
    <w:basedOn w:val="Normal"/>
    <w:rsid w:val="005D261C"/>
    <w:pPr>
      <w:spacing w:before="100" w:beforeAutospacing="1" w:after="100" w:afterAutospacing="1"/>
    </w:pPr>
    <w:rPr>
      <w:rFonts w:ascii="Times New Roman" w:eastAsia="Times New Roman" w:hAnsi="Times New Roman" w:cs="Times New Roman"/>
      <w:lang w:val="en-AU"/>
    </w:rPr>
  </w:style>
  <w:style w:type="paragraph" w:styleId="Footer">
    <w:name w:val="footer"/>
    <w:basedOn w:val="Normal"/>
    <w:link w:val="FooterChar"/>
    <w:uiPriority w:val="99"/>
    <w:unhideWhenUsed/>
    <w:rsid w:val="00637FA9"/>
    <w:pPr>
      <w:tabs>
        <w:tab w:val="center" w:pos="4680"/>
        <w:tab w:val="right" w:pos="9360"/>
      </w:tabs>
    </w:pPr>
  </w:style>
  <w:style w:type="character" w:customStyle="1" w:styleId="FooterChar">
    <w:name w:val="Footer Char"/>
    <w:basedOn w:val="DefaultParagraphFont"/>
    <w:link w:val="Footer"/>
    <w:uiPriority w:val="99"/>
    <w:rsid w:val="00637FA9"/>
    <w:rPr>
      <w:lang w:val="en-US"/>
    </w:rPr>
  </w:style>
  <w:style w:type="character" w:styleId="PageNumber">
    <w:name w:val="page number"/>
    <w:basedOn w:val="DefaultParagraphFont"/>
    <w:uiPriority w:val="99"/>
    <w:semiHidden/>
    <w:unhideWhenUsed/>
    <w:rsid w:val="00637FA9"/>
  </w:style>
  <w:style w:type="character" w:customStyle="1" w:styleId="break-words">
    <w:name w:val="break-words"/>
    <w:basedOn w:val="DefaultParagraphFont"/>
    <w:rsid w:val="001529CD"/>
  </w:style>
  <w:style w:type="paragraph" w:styleId="PlainText">
    <w:name w:val="Plain Text"/>
    <w:basedOn w:val="Normal"/>
    <w:link w:val="PlainTextChar"/>
    <w:uiPriority w:val="99"/>
    <w:semiHidden/>
    <w:unhideWhenUsed/>
    <w:rsid w:val="00C850C2"/>
    <w:rPr>
      <w:rFonts w:ascii="Calibri" w:hAnsi="Calibri"/>
      <w:sz w:val="22"/>
      <w:szCs w:val="21"/>
      <w:lang w:val="en-AU"/>
    </w:rPr>
  </w:style>
  <w:style w:type="character" w:customStyle="1" w:styleId="PlainTextChar">
    <w:name w:val="Plain Text Char"/>
    <w:basedOn w:val="DefaultParagraphFont"/>
    <w:link w:val="PlainText"/>
    <w:uiPriority w:val="99"/>
    <w:semiHidden/>
    <w:rsid w:val="00C850C2"/>
    <w:rPr>
      <w:rFonts w:ascii="Calibri" w:hAnsi="Calibri"/>
      <w:sz w:val="22"/>
      <w:szCs w:val="21"/>
    </w:rPr>
  </w:style>
  <w:style w:type="character" w:customStyle="1" w:styleId="data-count">
    <w:name w:val="data-count"/>
    <w:basedOn w:val="DefaultParagraphFont"/>
    <w:rsid w:val="001E6A8A"/>
  </w:style>
  <w:style w:type="paragraph" w:styleId="Header">
    <w:name w:val="header"/>
    <w:basedOn w:val="Normal"/>
    <w:link w:val="HeaderChar"/>
    <w:uiPriority w:val="99"/>
    <w:unhideWhenUsed/>
    <w:rsid w:val="00E95F0B"/>
    <w:pPr>
      <w:tabs>
        <w:tab w:val="center" w:pos="4680"/>
        <w:tab w:val="right" w:pos="9360"/>
      </w:tabs>
    </w:pPr>
  </w:style>
  <w:style w:type="character" w:customStyle="1" w:styleId="HeaderChar">
    <w:name w:val="Header Char"/>
    <w:basedOn w:val="DefaultParagraphFont"/>
    <w:link w:val="Header"/>
    <w:uiPriority w:val="99"/>
    <w:rsid w:val="00E95F0B"/>
    <w:rPr>
      <w:lang w:val="en-US"/>
    </w:rPr>
  </w:style>
  <w:style w:type="paragraph" w:styleId="BodyText">
    <w:name w:val="Body Text"/>
    <w:basedOn w:val="Normal"/>
    <w:link w:val="BodyTextChar"/>
    <w:uiPriority w:val="1"/>
    <w:qFormat/>
    <w:rsid w:val="00172022"/>
    <w:pPr>
      <w:autoSpaceDE w:val="0"/>
      <w:autoSpaceDN w:val="0"/>
      <w:adjustRightInd w:val="0"/>
      <w:spacing w:before="40"/>
      <w:ind w:left="39" w:right="111"/>
    </w:pPr>
    <w:rPr>
      <w:rFonts w:ascii="Times New Roman" w:hAnsi="Times New Roman" w:cs="Times New Roman"/>
      <w:sz w:val="22"/>
      <w:szCs w:val="22"/>
    </w:rPr>
  </w:style>
  <w:style w:type="character" w:customStyle="1" w:styleId="BodyTextChar">
    <w:name w:val="Body Text Char"/>
    <w:basedOn w:val="DefaultParagraphFont"/>
    <w:link w:val="BodyText"/>
    <w:uiPriority w:val="1"/>
    <w:rsid w:val="00172022"/>
    <w:rPr>
      <w:rFonts w:ascii="Times New Roman" w:hAnsi="Times New Roman" w:cs="Times New Roman"/>
      <w:sz w:val="22"/>
      <w:szCs w:val="22"/>
      <w:lang w:val="en-US"/>
    </w:rPr>
  </w:style>
  <w:style w:type="character" w:styleId="CommentReference">
    <w:name w:val="annotation reference"/>
    <w:basedOn w:val="DefaultParagraphFont"/>
    <w:uiPriority w:val="99"/>
    <w:semiHidden/>
    <w:unhideWhenUsed/>
    <w:rsid w:val="0063169A"/>
    <w:rPr>
      <w:sz w:val="16"/>
      <w:szCs w:val="16"/>
    </w:rPr>
  </w:style>
  <w:style w:type="paragraph" w:styleId="CommentText">
    <w:name w:val="annotation text"/>
    <w:basedOn w:val="Normal"/>
    <w:link w:val="CommentTextChar"/>
    <w:uiPriority w:val="99"/>
    <w:semiHidden/>
    <w:unhideWhenUsed/>
    <w:rsid w:val="0063169A"/>
    <w:rPr>
      <w:sz w:val="20"/>
      <w:szCs w:val="20"/>
    </w:rPr>
  </w:style>
  <w:style w:type="character" w:customStyle="1" w:styleId="CommentTextChar">
    <w:name w:val="Comment Text Char"/>
    <w:basedOn w:val="DefaultParagraphFont"/>
    <w:link w:val="CommentText"/>
    <w:uiPriority w:val="99"/>
    <w:semiHidden/>
    <w:rsid w:val="0063169A"/>
    <w:rPr>
      <w:sz w:val="20"/>
      <w:szCs w:val="20"/>
      <w:lang w:val="en-US"/>
    </w:rPr>
  </w:style>
  <w:style w:type="paragraph" w:styleId="CommentSubject">
    <w:name w:val="annotation subject"/>
    <w:basedOn w:val="CommentText"/>
    <w:next w:val="CommentText"/>
    <w:link w:val="CommentSubjectChar"/>
    <w:uiPriority w:val="99"/>
    <w:semiHidden/>
    <w:unhideWhenUsed/>
    <w:rsid w:val="0063169A"/>
    <w:rPr>
      <w:b/>
      <w:bCs/>
    </w:rPr>
  </w:style>
  <w:style w:type="character" w:customStyle="1" w:styleId="CommentSubjectChar">
    <w:name w:val="Comment Subject Char"/>
    <w:basedOn w:val="CommentTextChar"/>
    <w:link w:val="CommentSubject"/>
    <w:uiPriority w:val="99"/>
    <w:semiHidden/>
    <w:rsid w:val="0063169A"/>
    <w:rPr>
      <w:b/>
      <w:bCs/>
      <w:sz w:val="20"/>
      <w:szCs w:val="20"/>
      <w:lang w:val="en-US"/>
    </w:rPr>
  </w:style>
  <w:style w:type="paragraph" w:styleId="Revision">
    <w:name w:val="Revision"/>
    <w:hidden/>
    <w:uiPriority w:val="99"/>
    <w:semiHidden/>
    <w:rsid w:val="007C3F4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8678">
      <w:bodyDiv w:val="1"/>
      <w:marLeft w:val="0"/>
      <w:marRight w:val="0"/>
      <w:marTop w:val="0"/>
      <w:marBottom w:val="0"/>
      <w:divBdr>
        <w:top w:val="none" w:sz="0" w:space="0" w:color="auto"/>
        <w:left w:val="none" w:sz="0" w:space="0" w:color="auto"/>
        <w:bottom w:val="none" w:sz="0" w:space="0" w:color="auto"/>
        <w:right w:val="none" w:sz="0" w:space="0" w:color="auto"/>
      </w:divBdr>
    </w:div>
    <w:div w:id="64643228">
      <w:bodyDiv w:val="1"/>
      <w:marLeft w:val="0"/>
      <w:marRight w:val="0"/>
      <w:marTop w:val="0"/>
      <w:marBottom w:val="0"/>
      <w:divBdr>
        <w:top w:val="none" w:sz="0" w:space="0" w:color="auto"/>
        <w:left w:val="none" w:sz="0" w:space="0" w:color="auto"/>
        <w:bottom w:val="none" w:sz="0" w:space="0" w:color="auto"/>
        <w:right w:val="none" w:sz="0" w:space="0" w:color="auto"/>
      </w:divBdr>
    </w:div>
    <w:div w:id="3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680808635">
          <w:marLeft w:val="0"/>
          <w:marRight w:val="0"/>
          <w:marTop w:val="0"/>
          <w:marBottom w:val="0"/>
          <w:divBdr>
            <w:top w:val="none" w:sz="0" w:space="0" w:color="auto"/>
            <w:left w:val="none" w:sz="0" w:space="0" w:color="auto"/>
            <w:bottom w:val="none" w:sz="0" w:space="0" w:color="auto"/>
            <w:right w:val="none" w:sz="0" w:space="0" w:color="auto"/>
          </w:divBdr>
          <w:divsChild>
            <w:div w:id="29383646">
              <w:marLeft w:val="0"/>
              <w:marRight w:val="0"/>
              <w:marTop w:val="0"/>
              <w:marBottom w:val="0"/>
              <w:divBdr>
                <w:top w:val="none" w:sz="0" w:space="0" w:color="auto"/>
                <w:left w:val="none" w:sz="0" w:space="0" w:color="auto"/>
                <w:bottom w:val="none" w:sz="0" w:space="0" w:color="auto"/>
                <w:right w:val="none" w:sz="0" w:space="0" w:color="auto"/>
              </w:divBdr>
              <w:divsChild>
                <w:div w:id="945189893">
                  <w:marLeft w:val="0"/>
                  <w:marRight w:val="0"/>
                  <w:marTop w:val="0"/>
                  <w:marBottom w:val="0"/>
                  <w:divBdr>
                    <w:top w:val="none" w:sz="0" w:space="0" w:color="auto"/>
                    <w:left w:val="none" w:sz="0" w:space="0" w:color="auto"/>
                    <w:bottom w:val="none" w:sz="0" w:space="0" w:color="auto"/>
                    <w:right w:val="none" w:sz="0" w:space="0" w:color="auto"/>
                  </w:divBdr>
                  <w:divsChild>
                    <w:div w:id="17131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22985">
      <w:bodyDiv w:val="1"/>
      <w:marLeft w:val="0"/>
      <w:marRight w:val="0"/>
      <w:marTop w:val="0"/>
      <w:marBottom w:val="0"/>
      <w:divBdr>
        <w:top w:val="none" w:sz="0" w:space="0" w:color="auto"/>
        <w:left w:val="none" w:sz="0" w:space="0" w:color="auto"/>
        <w:bottom w:val="none" w:sz="0" w:space="0" w:color="auto"/>
        <w:right w:val="none" w:sz="0" w:space="0" w:color="auto"/>
      </w:divBdr>
    </w:div>
    <w:div w:id="859858419">
      <w:bodyDiv w:val="1"/>
      <w:marLeft w:val="0"/>
      <w:marRight w:val="0"/>
      <w:marTop w:val="0"/>
      <w:marBottom w:val="0"/>
      <w:divBdr>
        <w:top w:val="none" w:sz="0" w:space="0" w:color="auto"/>
        <w:left w:val="none" w:sz="0" w:space="0" w:color="auto"/>
        <w:bottom w:val="none" w:sz="0" w:space="0" w:color="auto"/>
        <w:right w:val="none" w:sz="0" w:space="0" w:color="auto"/>
      </w:divBdr>
    </w:div>
    <w:div w:id="911039454">
      <w:bodyDiv w:val="1"/>
      <w:marLeft w:val="0"/>
      <w:marRight w:val="0"/>
      <w:marTop w:val="0"/>
      <w:marBottom w:val="0"/>
      <w:divBdr>
        <w:top w:val="none" w:sz="0" w:space="0" w:color="auto"/>
        <w:left w:val="none" w:sz="0" w:space="0" w:color="auto"/>
        <w:bottom w:val="none" w:sz="0" w:space="0" w:color="auto"/>
        <w:right w:val="none" w:sz="0" w:space="0" w:color="auto"/>
      </w:divBdr>
      <w:divsChild>
        <w:div w:id="1842350212">
          <w:marLeft w:val="0"/>
          <w:marRight w:val="0"/>
          <w:marTop w:val="0"/>
          <w:marBottom w:val="0"/>
          <w:divBdr>
            <w:top w:val="none" w:sz="0" w:space="0" w:color="auto"/>
            <w:left w:val="none" w:sz="0" w:space="0" w:color="auto"/>
            <w:bottom w:val="none" w:sz="0" w:space="0" w:color="auto"/>
            <w:right w:val="none" w:sz="0" w:space="0" w:color="auto"/>
          </w:divBdr>
          <w:divsChild>
            <w:div w:id="1577089999">
              <w:marLeft w:val="0"/>
              <w:marRight w:val="0"/>
              <w:marTop w:val="0"/>
              <w:marBottom w:val="0"/>
              <w:divBdr>
                <w:top w:val="none" w:sz="0" w:space="0" w:color="auto"/>
                <w:left w:val="none" w:sz="0" w:space="0" w:color="auto"/>
                <w:bottom w:val="none" w:sz="0" w:space="0" w:color="auto"/>
                <w:right w:val="none" w:sz="0" w:space="0" w:color="auto"/>
              </w:divBdr>
              <w:divsChild>
                <w:div w:id="432477044">
                  <w:marLeft w:val="0"/>
                  <w:marRight w:val="0"/>
                  <w:marTop w:val="0"/>
                  <w:marBottom w:val="0"/>
                  <w:divBdr>
                    <w:top w:val="none" w:sz="0" w:space="0" w:color="auto"/>
                    <w:left w:val="none" w:sz="0" w:space="0" w:color="auto"/>
                    <w:bottom w:val="none" w:sz="0" w:space="0" w:color="auto"/>
                    <w:right w:val="none" w:sz="0" w:space="0" w:color="auto"/>
                  </w:divBdr>
                  <w:divsChild>
                    <w:div w:id="8177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47614">
      <w:bodyDiv w:val="1"/>
      <w:marLeft w:val="0"/>
      <w:marRight w:val="0"/>
      <w:marTop w:val="0"/>
      <w:marBottom w:val="0"/>
      <w:divBdr>
        <w:top w:val="none" w:sz="0" w:space="0" w:color="auto"/>
        <w:left w:val="none" w:sz="0" w:space="0" w:color="auto"/>
        <w:bottom w:val="none" w:sz="0" w:space="0" w:color="auto"/>
        <w:right w:val="none" w:sz="0" w:space="0" w:color="auto"/>
      </w:divBdr>
    </w:div>
    <w:div w:id="1237206559">
      <w:bodyDiv w:val="1"/>
      <w:marLeft w:val="0"/>
      <w:marRight w:val="0"/>
      <w:marTop w:val="0"/>
      <w:marBottom w:val="0"/>
      <w:divBdr>
        <w:top w:val="none" w:sz="0" w:space="0" w:color="auto"/>
        <w:left w:val="none" w:sz="0" w:space="0" w:color="auto"/>
        <w:bottom w:val="none" w:sz="0" w:space="0" w:color="auto"/>
        <w:right w:val="none" w:sz="0" w:space="0" w:color="auto"/>
      </w:divBdr>
    </w:div>
    <w:div w:id="1454446161">
      <w:bodyDiv w:val="1"/>
      <w:marLeft w:val="0"/>
      <w:marRight w:val="0"/>
      <w:marTop w:val="0"/>
      <w:marBottom w:val="0"/>
      <w:divBdr>
        <w:top w:val="none" w:sz="0" w:space="0" w:color="auto"/>
        <w:left w:val="none" w:sz="0" w:space="0" w:color="auto"/>
        <w:bottom w:val="none" w:sz="0" w:space="0" w:color="auto"/>
        <w:right w:val="none" w:sz="0" w:space="0" w:color="auto"/>
      </w:divBdr>
    </w:div>
    <w:div w:id="1666008376">
      <w:bodyDiv w:val="1"/>
      <w:marLeft w:val="0"/>
      <w:marRight w:val="0"/>
      <w:marTop w:val="0"/>
      <w:marBottom w:val="0"/>
      <w:divBdr>
        <w:top w:val="none" w:sz="0" w:space="0" w:color="auto"/>
        <w:left w:val="none" w:sz="0" w:space="0" w:color="auto"/>
        <w:bottom w:val="none" w:sz="0" w:space="0" w:color="auto"/>
        <w:right w:val="none" w:sz="0" w:space="0" w:color="auto"/>
      </w:divBdr>
      <w:divsChild>
        <w:div w:id="2097747014">
          <w:marLeft w:val="0"/>
          <w:marRight w:val="0"/>
          <w:marTop w:val="0"/>
          <w:marBottom w:val="0"/>
          <w:divBdr>
            <w:top w:val="none" w:sz="0" w:space="0" w:color="auto"/>
            <w:left w:val="none" w:sz="0" w:space="0" w:color="auto"/>
            <w:bottom w:val="none" w:sz="0" w:space="0" w:color="auto"/>
            <w:right w:val="none" w:sz="0" w:space="0" w:color="auto"/>
          </w:divBdr>
          <w:divsChild>
            <w:div w:id="2145073057">
              <w:marLeft w:val="0"/>
              <w:marRight w:val="0"/>
              <w:marTop w:val="0"/>
              <w:marBottom w:val="0"/>
              <w:divBdr>
                <w:top w:val="none" w:sz="0" w:space="0" w:color="auto"/>
                <w:left w:val="none" w:sz="0" w:space="0" w:color="auto"/>
                <w:bottom w:val="none" w:sz="0" w:space="0" w:color="auto"/>
                <w:right w:val="none" w:sz="0" w:space="0" w:color="auto"/>
              </w:divBdr>
            </w:div>
            <w:div w:id="852455176">
              <w:marLeft w:val="0"/>
              <w:marRight w:val="0"/>
              <w:marTop w:val="0"/>
              <w:marBottom w:val="0"/>
              <w:divBdr>
                <w:top w:val="none" w:sz="0" w:space="0" w:color="auto"/>
                <w:left w:val="none" w:sz="0" w:space="0" w:color="auto"/>
                <w:bottom w:val="none" w:sz="0" w:space="0" w:color="auto"/>
                <w:right w:val="none" w:sz="0" w:space="0" w:color="auto"/>
              </w:divBdr>
            </w:div>
            <w:div w:id="1057095940">
              <w:marLeft w:val="0"/>
              <w:marRight w:val="0"/>
              <w:marTop w:val="0"/>
              <w:marBottom w:val="0"/>
              <w:divBdr>
                <w:top w:val="none" w:sz="0" w:space="0" w:color="auto"/>
                <w:left w:val="none" w:sz="0" w:space="0" w:color="auto"/>
                <w:bottom w:val="none" w:sz="0" w:space="0" w:color="auto"/>
                <w:right w:val="none" w:sz="0" w:space="0" w:color="auto"/>
              </w:divBdr>
            </w:div>
            <w:div w:id="2017027645">
              <w:marLeft w:val="0"/>
              <w:marRight w:val="0"/>
              <w:marTop w:val="0"/>
              <w:marBottom w:val="0"/>
              <w:divBdr>
                <w:top w:val="none" w:sz="0" w:space="0" w:color="auto"/>
                <w:left w:val="none" w:sz="0" w:space="0" w:color="auto"/>
                <w:bottom w:val="none" w:sz="0" w:space="0" w:color="auto"/>
                <w:right w:val="none" w:sz="0" w:space="0" w:color="auto"/>
              </w:divBdr>
            </w:div>
            <w:div w:id="1171989493">
              <w:marLeft w:val="0"/>
              <w:marRight w:val="0"/>
              <w:marTop w:val="0"/>
              <w:marBottom w:val="0"/>
              <w:divBdr>
                <w:top w:val="none" w:sz="0" w:space="0" w:color="auto"/>
                <w:left w:val="none" w:sz="0" w:space="0" w:color="auto"/>
                <w:bottom w:val="none" w:sz="0" w:space="0" w:color="auto"/>
                <w:right w:val="none" w:sz="0" w:space="0" w:color="auto"/>
              </w:divBdr>
            </w:div>
          </w:divsChild>
        </w:div>
        <w:div w:id="1247809513">
          <w:marLeft w:val="0"/>
          <w:marRight w:val="0"/>
          <w:marTop w:val="0"/>
          <w:marBottom w:val="0"/>
          <w:divBdr>
            <w:top w:val="none" w:sz="0" w:space="0" w:color="auto"/>
            <w:left w:val="none" w:sz="0" w:space="0" w:color="auto"/>
            <w:bottom w:val="none" w:sz="0" w:space="0" w:color="auto"/>
            <w:right w:val="none" w:sz="0" w:space="0" w:color="auto"/>
          </w:divBdr>
        </w:div>
      </w:divsChild>
    </w:div>
    <w:div w:id="1714891637">
      <w:bodyDiv w:val="1"/>
      <w:marLeft w:val="0"/>
      <w:marRight w:val="0"/>
      <w:marTop w:val="0"/>
      <w:marBottom w:val="0"/>
      <w:divBdr>
        <w:top w:val="none" w:sz="0" w:space="0" w:color="auto"/>
        <w:left w:val="none" w:sz="0" w:space="0" w:color="auto"/>
        <w:bottom w:val="none" w:sz="0" w:space="0" w:color="auto"/>
        <w:right w:val="none" w:sz="0" w:space="0" w:color="auto"/>
      </w:divBdr>
    </w:div>
    <w:div w:id="1800344332">
      <w:bodyDiv w:val="1"/>
      <w:marLeft w:val="0"/>
      <w:marRight w:val="0"/>
      <w:marTop w:val="0"/>
      <w:marBottom w:val="0"/>
      <w:divBdr>
        <w:top w:val="none" w:sz="0" w:space="0" w:color="auto"/>
        <w:left w:val="none" w:sz="0" w:space="0" w:color="auto"/>
        <w:bottom w:val="none" w:sz="0" w:space="0" w:color="auto"/>
        <w:right w:val="none" w:sz="0" w:space="0" w:color="auto"/>
      </w:divBdr>
    </w:div>
    <w:div w:id="1884293960">
      <w:bodyDiv w:val="1"/>
      <w:marLeft w:val="0"/>
      <w:marRight w:val="0"/>
      <w:marTop w:val="0"/>
      <w:marBottom w:val="0"/>
      <w:divBdr>
        <w:top w:val="none" w:sz="0" w:space="0" w:color="auto"/>
        <w:left w:val="none" w:sz="0" w:space="0" w:color="auto"/>
        <w:bottom w:val="none" w:sz="0" w:space="0" w:color="auto"/>
        <w:right w:val="none" w:sz="0" w:space="0" w:color="auto"/>
      </w:divBdr>
      <w:divsChild>
        <w:div w:id="1843742487">
          <w:marLeft w:val="0"/>
          <w:marRight w:val="0"/>
          <w:marTop w:val="0"/>
          <w:marBottom w:val="0"/>
          <w:divBdr>
            <w:top w:val="none" w:sz="0" w:space="0" w:color="auto"/>
            <w:left w:val="none" w:sz="0" w:space="0" w:color="auto"/>
            <w:bottom w:val="none" w:sz="0" w:space="0" w:color="auto"/>
            <w:right w:val="none" w:sz="0" w:space="0" w:color="auto"/>
          </w:divBdr>
          <w:divsChild>
            <w:div w:id="1834100591">
              <w:marLeft w:val="0"/>
              <w:marRight w:val="0"/>
              <w:marTop w:val="0"/>
              <w:marBottom w:val="0"/>
              <w:divBdr>
                <w:top w:val="none" w:sz="0" w:space="0" w:color="auto"/>
                <w:left w:val="none" w:sz="0" w:space="0" w:color="auto"/>
                <w:bottom w:val="none" w:sz="0" w:space="0" w:color="auto"/>
                <w:right w:val="none" w:sz="0" w:space="0" w:color="auto"/>
              </w:divBdr>
            </w:div>
          </w:divsChild>
        </w:div>
        <w:div w:id="742877990">
          <w:marLeft w:val="0"/>
          <w:marRight w:val="0"/>
          <w:marTop w:val="0"/>
          <w:marBottom w:val="0"/>
          <w:divBdr>
            <w:top w:val="none" w:sz="0" w:space="0" w:color="auto"/>
            <w:left w:val="none" w:sz="0" w:space="0" w:color="auto"/>
            <w:bottom w:val="none" w:sz="0" w:space="0" w:color="auto"/>
            <w:right w:val="none" w:sz="0" w:space="0" w:color="auto"/>
          </w:divBdr>
          <w:divsChild>
            <w:div w:id="1527523065">
              <w:marLeft w:val="0"/>
              <w:marRight w:val="0"/>
              <w:marTop w:val="0"/>
              <w:marBottom w:val="0"/>
              <w:divBdr>
                <w:top w:val="none" w:sz="0" w:space="0" w:color="auto"/>
                <w:left w:val="none" w:sz="0" w:space="0" w:color="auto"/>
                <w:bottom w:val="none" w:sz="0" w:space="0" w:color="auto"/>
                <w:right w:val="none" w:sz="0" w:space="0" w:color="auto"/>
              </w:divBdr>
            </w:div>
          </w:divsChild>
        </w:div>
        <w:div w:id="1252085511">
          <w:marLeft w:val="0"/>
          <w:marRight w:val="0"/>
          <w:marTop w:val="0"/>
          <w:marBottom w:val="0"/>
          <w:divBdr>
            <w:top w:val="none" w:sz="0" w:space="0" w:color="auto"/>
            <w:left w:val="none" w:sz="0" w:space="0" w:color="auto"/>
            <w:bottom w:val="none" w:sz="0" w:space="0" w:color="auto"/>
            <w:right w:val="none" w:sz="0" w:space="0" w:color="auto"/>
          </w:divBdr>
          <w:divsChild>
            <w:div w:id="8230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418">
      <w:bodyDiv w:val="1"/>
      <w:marLeft w:val="0"/>
      <w:marRight w:val="0"/>
      <w:marTop w:val="0"/>
      <w:marBottom w:val="0"/>
      <w:divBdr>
        <w:top w:val="none" w:sz="0" w:space="0" w:color="auto"/>
        <w:left w:val="none" w:sz="0" w:space="0" w:color="auto"/>
        <w:bottom w:val="none" w:sz="0" w:space="0" w:color="auto"/>
        <w:right w:val="none" w:sz="0" w:space="0" w:color="auto"/>
      </w:divBdr>
    </w:div>
    <w:div w:id="2047946228">
      <w:bodyDiv w:val="1"/>
      <w:marLeft w:val="0"/>
      <w:marRight w:val="0"/>
      <w:marTop w:val="0"/>
      <w:marBottom w:val="0"/>
      <w:divBdr>
        <w:top w:val="none" w:sz="0" w:space="0" w:color="auto"/>
        <w:left w:val="none" w:sz="0" w:space="0" w:color="auto"/>
        <w:bottom w:val="none" w:sz="0" w:space="0" w:color="auto"/>
        <w:right w:val="none" w:sz="0" w:space="0" w:color="auto"/>
      </w:divBdr>
    </w:div>
    <w:div w:id="2068062838">
      <w:bodyDiv w:val="1"/>
      <w:marLeft w:val="0"/>
      <w:marRight w:val="0"/>
      <w:marTop w:val="0"/>
      <w:marBottom w:val="0"/>
      <w:divBdr>
        <w:top w:val="none" w:sz="0" w:space="0" w:color="auto"/>
        <w:left w:val="none" w:sz="0" w:space="0" w:color="auto"/>
        <w:bottom w:val="none" w:sz="0" w:space="0" w:color="auto"/>
        <w:right w:val="none" w:sz="0" w:space="0" w:color="auto"/>
      </w:divBdr>
      <w:divsChild>
        <w:div w:id="1102604609">
          <w:marLeft w:val="0"/>
          <w:marRight w:val="0"/>
          <w:marTop w:val="0"/>
          <w:marBottom w:val="0"/>
          <w:divBdr>
            <w:top w:val="none" w:sz="0" w:space="0" w:color="auto"/>
            <w:left w:val="none" w:sz="0" w:space="0" w:color="auto"/>
            <w:bottom w:val="none" w:sz="0" w:space="0" w:color="auto"/>
            <w:right w:val="none" w:sz="0" w:space="0" w:color="auto"/>
          </w:divBdr>
          <w:divsChild>
            <w:div w:id="1173762884">
              <w:marLeft w:val="0"/>
              <w:marRight w:val="0"/>
              <w:marTop w:val="0"/>
              <w:marBottom w:val="0"/>
              <w:divBdr>
                <w:top w:val="none" w:sz="0" w:space="0" w:color="auto"/>
                <w:left w:val="none" w:sz="0" w:space="0" w:color="auto"/>
                <w:bottom w:val="none" w:sz="0" w:space="0" w:color="auto"/>
                <w:right w:val="none" w:sz="0" w:space="0" w:color="auto"/>
              </w:divBdr>
              <w:divsChild>
                <w:div w:id="12327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a.gov.au/media-releases/2022/mr-22-4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drewleigh.com/how_uncompetitive_markets_hurt_workers_speech_melbourne#:~:text=Without%20market%20power,%20economic%20theory,than%20they%20are%20being%20pa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deas.repec.org/p/qld/uqaibe/2.html" TargetMode="External"/><Relationship Id="rId2" Type="http://schemas.openxmlformats.org/officeDocument/2006/relationships/hyperlink" Target="https://www.bertelsmann-stiftung.de/fileadmin/files/BSt/Publikationen/GrauePublikationen/NW_Price_Markups_ENGL.pdf" TargetMode="External"/><Relationship Id="rId1" Type="http://schemas.openxmlformats.org/officeDocument/2006/relationships/hyperlink" Target="https://www.aph.gov.au/Parliamentary_Business/Committees/House/Economics/Inquiry_into_the_implications_of_common_ownership_and_capital_concentration_in_Australia/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98E9-0AB7-194A-B1A6-A05C502C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Menezes</dc:creator>
  <cp:keywords/>
  <dc:description/>
  <cp:lastModifiedBy>Dr Liam Byrne</cp:lastModifiedBy>
  <cp:revision>9</cp:revision>
  <cp:lastPrinted>2023-03-10T00:31:00Z</cp:lastPrinted>
  <dcterms:created xsi:type="dcterms:W3CDTF">2023-08-30T00:53:00Z</dcterms:created>
  <dcterms:modified xsi:type="dcterms:W3CDTF">2023-08-30T01:00:00Z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2022-12-24T00:02:26Z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8eed4aab-42d3-49a2-bdd6-96ff1961330f</vt:lpwstr>
  </property>
  <property fmtid="{D5CDD505-2E9C-101B-9397-08002B2CF9AE}" pid="8" name="MSIP_Label_0f488380-630a-4f55-a077-a19445e3f360_ContentBits">
    <vt:lpwstr>0</vt:lpwstr>
  </property>
</Properties>
</file>